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d88b6238527c452620f2e37a1e105c4ea8ac9"/>
    <w:p>
      <w:pPr>
        <w:pStyle w:val="Heading3"/>
      </w:pPr>
      <w:r>
        <w:t xml:space="preserve">Оповещение о начале общественных обсуждений по проекту планировки территории мкр, 67, 68; кв.103, 104, 105, 106 района Котловка.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мкр, 67, 68; кв.103, 104, 105, 106 района Котловка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мкр, 67, 68; кв.103, 104, 105, 106 района Котловка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мкр, 67, 68; кв.103, 104, 105, 106 района Котловка проводятся в пределах территории района Котловка города Москвы.</w:t>
      </w:r>
    </w:p>
    <w:p>
      <w:pPr>
        <w:pStyle w:val="BodyText"/>
      </w:pPr>
      <w:r>
        <w:t xml:space="preserve">К проекту планировки территории мкр, 67, 68; кв.103, 104, 105, 106 района Котловка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мкр, 67, 68; кв.103, 104, 105, 106 района Котловка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мкр, 67, 68; кв.103, 104, 105, 106 района Котловка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2024-08-20T05:12:07Z</dcterms:created>
  <dcterms:modified xsi:type="dcterms:W3CDTF">2024-08-20T05:12:07Z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