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dfad97614754231b095c12632867a30c2bc6112"/>
    <w:p>
      <w:pPr>
        <w:pStyle w:val="Heading3"/>
      </w:pPr>
      <w:r>
        <w:t xml:space="preserve">На «Активном гражданине» оценят катки в Воронцовском парке</w:t>
      </w:r>
    </w:p>
    <w:p>
      <w:pPr>
        <w:pStyle w:val="FirstParagraph"/>
      </w:pPr>
      <w:r>
        <w:t xml:space="preserve">11.02.2020</w:t>
      </w:r>
    </w:p>
    <w:p>
      <w:pPr>
        <w:pStyle w:val="BodyText"/>
      </w:pPr>
      <w:r>
        <w:rPr>
          <w:bCs/>
          <w:b/>
        </w:rPr>
        <w:t xml:space="preserve">На «Активном гражданине» </w:t>
      </w:r>
      <w:hyperlink r:id="rId20">
        <w:r>
          <w:rPr>
            <w:rStyle w:val="Hyperlink"/>
          </w:rPr>
          <w:t xml:space="preserve">стартовало</w:t>
        </w:r>
      </w:hyperlink>
      <w:r>
        <w:rPr>
          <w:bCs/>
          <w:b/>
        </w:rPr>
        <w:t xml:space="preserve"> новое голосование, участники которого помогут составить рейтинг катков в парках и выбрать лучшие из них. Об этом </w:t>
      </w:r>
      <w:hyperlink r:id="rId21">
        <w:r>
          <w:rPr>
            <w:rStyle w:val="Hyperlink"/>
          </w:rPr>
          <w:t xml:space="preserve">сообщается</w:t>
        </w:r>
      </w:hyperlink>
      <w:r>
        <w:rPr>
          <w:bCs/>
          <w:b/>
        </w:rPr>
        <w:t xml:space="preserve"> на официальном портале Мэра Москвы.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Голосование состоит из шести вопросов. Сначала необходимо выбрать один из 16 парков, среди которых есть Воронцовский парк на Юго-Западе Москвы. Также имеется вариант «Я не посещаю катки в городских парках».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Далее необходимо будет определиться с элементами инфраструктуры катков, оценить состояние льда и работу пунктов проката. Также горожане выскажутся по поводу раздевалок и гардеробных, поделятся мнением о светомузыкальном сопровождении, и поставят оценку катку.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http://uzao.mos.ru/presscenter/news/detail/8682814.html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uzao.mos.ru" TargetMode="External" /><Relationship Type="http://schemas.openxmlformats.org/officeDocument/2006/relationships/hyperlink" Id="rId22" Target="http://uzao.mos.ru/presscenter/news/detail/8682814.html" TargetMode="External" /><Relationship Type="http://schemas.openxmlformats.org/officeDocument/2006/relationships/hyperlink" Id="rId20" Target="https://ag.mos.ru/poll/7120" TargetMode="External" /><Relationship Type="http://schemas.openxmlformats.org/officeDocument/2006/relationships/hyperlink" Id="rId21" Target="https://www.mos.ru/news/item/69336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uzao.mos.ru" TargetMode="External" /><Relationship Type="http://schemas.openxmlformats.org/officeDocument/2006/relationships/hyperlink" Id="rId22" Target="http://uzao.mos.ru/presscenter/news/detail/8682814.html" TargetMode="External" /><Relationship Type="http://schemas.openxmlformats.org/officeDocument/2006/relationships/hyperlink" Id="rId20" Target="https://ag.mos.ru/poll/7120" TargetMode="External" /><Relationship Type="http://schemas.openxmlformats.org/officeDocument/2006/relationships/hyperlink" Id="rId21" Target="https://www.mos.ru/news/item/69336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2025-06-07T23:11:22Z</dcterms:created>
  <dcterms:modified xsi:type="dcterms:W3CDTF">2025-06-07T23:11:22Z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