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5aae10e961f45d930358cf7ae99e3569f4acf7"/>
    <w:p>
      <w:pPr>
        <w:pStyle w:val="Heading3"/>
      </w:pPr>
      <w:r>
        <w:t xml:space="preserve">Горожане выберут лучшие решения для благоустройства столицы</w:t>
      </w:r>
    </w:p>
    <w:p>
      <w:pPr>
        <w:pStyle w:val="FirstParagraph"/>
      </w:pPr>
      <w:r>
        <w:t xml:space="preserve">07.11.2019</w:t>
      </w:r>
    </w:p>
    <w:p>
      <w:pPr>
        <w:pStyle w:val="BodyText"/>
      </w:pPr>
      <w:r>
        <w:rPr>
          <w:bCs/>
          <w:b/>
        </w:rPr>
        <w:t xml:space="preserve">На проекте городских электронных референдумов «Активный гражданин» продолжается голосование за лучшие образцы решений благоустройства, представленных на выставке «Город: детали», которая прошла на ВДНХ.</w:t>
      </w:r>
    </w:p>
    <w:p>
      <w:pPr>
        <w:pStyle w:val="BodyText"/>
      </w:pPr>
      <w:r>
        <w:t xml:space="preserve">Голосование проходит в пять этапов. На первом - можно выбрать лучшие, на ваш взгляд, детские площадки и игровые городки, на втором - варианты спортивных площадок, третий и четвертый охватывают парки и скверы, пятый - элементы комфорта городских улиц, а также освещение городских пространств.</w:t>
      </w:r>
    </w:p>
    <w:p>
      <w:pPr>
        <w:pStyle w:val="BodyText"/>
      </w:pPr>
      <w:r>
        <w:t xml:space="preserve">Результаты опроса будут учитываться при подготовке проектов в рамках программы «Мой район» в 2020 году.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http://uzao.mos.ru/presscenter/news/detail/8473792.html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4737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4737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2025-06-07T09:45:58Z</dcterms:created>
  <dcterms:modified xsi:type="dcterms:W3CDTF">2025-06-07T09:45:58Z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