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7d16286bd2b0c526e470e3a3e1383938569c"/>
    <w:p>
      <w:pPr>
        <w:pStyle w:val="Heading3"/>
      </w:pPr>
      <w:r>
        <w:t xml:space="preserve">Москвичи стали больше тратить на продукты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rPr>
          <w:bCs/>
          <w:b/>
        </w:rPr>
        <w:t xml:space="preserve">Оборот розничной торговли Москвы за первые пять месяцев это года увеличился на 6,4% по сравнению с аналогичным периодом прошлого года. Об этом сообщает Агентство городских новостей «Москва» со ссылкой на пресс-службу Департамента экономической политики и развития столицы.</w:t>
      </w:r>
    </w:p>
    <w:p>
      <w:pPr>
        <w:pStyle w:val="BodyText"/>
      </w:pPr>
      <w:r>
        <w:t xml:space="preserve">«Покупатели в Москве стали тратить больше денег на покупки. Оборот розничной торговли Москвы в январе-мае 2019 г. увеличился на 6,4% по сравнению с январем-маем прошлого года - до 1,99 трлн руб.», приводятся в сообщении слова руководителя городского Департамента экономической политики и развития Дениса Тихонова.</w:t>
      </w:r>
    </w:p>
    <w:p>
      <w:pPr>
        <w:pStyle w:val="BodyText"/>
      </w:pPr>
      <w:r>
        <w:t xml:space="preserve">По мнению аналитиков, рост покупательной способности доходов населения вызван увеличением зарплат. На сегодняшний день покупатели отдают предпочтение торговым организациям, нежели рынкам, при этом спрос на продукты, включая напитки и табак, вырос на 7,8% - до 1,1 трлн. рублей, а на непродовольственные товары на 4,7% - до 887 млрд.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http://uzao.mos.ru/presscenter/news/detail/8231229.html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1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1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2023-10-09T01:38:49Z</dcterms:created>
  <dcterms:modified xsi:type="dcterms:W3CDTF">2023-10-09T01:38:49Z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