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4df5242479b8338995e3cd46147ba76758c73"/>
    <w:p>
      <w:pPr>
        <w:pStyle w:val="Heading3"/>
      </w:pPr>
      <w:r>
        <w:t xml:space="preserve">На 80 процентов выполнены работы по ремонту подъездов в Академическом районе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rPr>
          <w:bCs/>
          <w:b/>
        </w:rPr>
        <w:t xml:space="preserve">По 19 адресам капремонт выполняют коммерческие организации. Кроме того, на сегодняшний день работы по ремонту 80 подъездов производятся при содействии силами «Жилищника» Академического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управе района, в целом по Академическому району работы по ремонту подъездов выполнены на 80 процентов. Работы проводятся в рамках программы капитального ремонта жилищного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до 20 июля планируется завершить ремонт подъезда в доме 3 корпус 1 по Черемушкинскому проезду. Комплекс работ выполнен практически полностью, что положительно оценили жильцы дома.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http://uzao.mos.ru/presscenter/news/detail/8222276.html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22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22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2024-12-27T23:37:24Z</dcterms:created>
  <dcterms:modified xsi:type="dcterms:W3CDTF">2024-12-27T23:37:24Z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