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d83171728403df02bc27285d39b470f828bd9"/>
    <w:p>
      <w:pPr>
        <w:pStyle w:val="Heading3"/>
      </w:pPr>
      <w:r>
        <w:t xml:space="preserve">Подъезды в 12 домах отремонтируют до конца июля в домах Академического района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rPr>
          <w:bCs/>
          <w:b/>
        </w:rPr>
        <w:t xml:space="preserve">В завершение капитального ремонта в девятом подъезде дома 11/11 на Профсоюзной улице покрасили ранее тщательно шпатлеванные стены. Теперь комплекс работ выполнен практически полностью.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интернет-газета «Москва За Калужской заставой», ремонтные работы в подъездах Академического района идут с опережением графика. В частности, до конца июля планируется завершить капремонт подъездов в 12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по 19 адресам в Академическом районе производится ремонт десятков подъездов в рамках программы капитального ремонта жилищного фонда. 80 объектов ремонтируют сотрудники «Жилищника» Академического района и коммерческие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http://uzao.mos.ru/presscenter/news/detail/8181540.html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81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81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2025-01-17T16:03:06Z</dcterms:created>
  <dcterms:modified xsi:type="dcterms:W3CDTF">2025-01-17T16:03:06Z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