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3c16beda35c4fed8e3da77b0893defe375444"/>
    <w:p>
      <w:pPr>
        <w:pStyle w:val="Heading3"/>
      </w:pPr>
      <w:r>
        <w:t xml:space="preserve">В Москве начала действовать горячая линия по вопросам, связанным с демонтажем рекламных конструкций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  <w:r>
        <w:t xml:space="preserve">Московский Штаб по защите прав и законных интересов субъектов инвестиционной и предпринимательской деятельности совместно с Правительством Москвы подготовили памятку для предпринимателей, столкнувшихся с проблемами, возникающими при демонтаже вывесок без надлежащего уведомления их владельцев.</w:t>
      </w:r>
    </w:p>
    <w:p>
      <w:pPr>
        <w:pStyle w:val="BodyText"/>
      </w:pPr>
      <w:r>
        <w:t xml:space="preserve">Штабом созданы постоянно действующие каналы обратной связи с представителями бизнеса, предназначенные для оперативного разрешения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http://uzao.mos.ru/presscenter/news/detail/7271187.html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271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271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2025-03-01T22:43:48Z</dcterms:created>
  <dcterms:modified xsi:type="dcterms:W3CDTF">2025-03-01T22:43:48Z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