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84b376002599f7b3cf22409280d1522a93c797"/>
    <w:p>
      <w:pPr>
        <w:pStyle w:val="Heading3"/>
      </w:pPr>
      <w:r>
        <w:t xml:space="preserve">18 апреля представители ЮЗАО, ставшие победителями творческого конкурса «Весна 45 года», станут участниками городского гала-концерта</w:t>
      </w:r>
    </w:p>
    <w:p>
      <w:pPr>
        <w:pStyle w:val="FirstParagraph"/>
      </w:pPr>
      <w:r>
        <w:t xml:space="preserve">12.04.2018</w:t>
      </w:r>
    </w:p>
    <w:p>
      <w:pPr>
        <w:pStyle w:val="BodyText"/>
      </w:pPr>
      <w:r>
        <w:t xml:space="preserve">18 апреля 2018 года во Дворце Культуры МГТУ им. Н.Э. Баумана состоится Гала-концерт лауреатов и участников одиннадцатого Молодежного патриотического конкурса «Весна 45 года». По традиции победители Конкурса проводят трехчасовой концерт в рамках Бала Победы в Городском Саду «Эрмитаж».</w:t>
      </w:r>
    </w:p>
    <w:p>
      <w:pPr>
        <w:pStyle w:val="BodyText"/>
      </w:pPr>
      <w:r>
        <w:t xml:space="preserve">Организатором конкурса выступает Региональная общественная организация «Планета - Золотой Клуб». В этом году в нем приняли участие 37 организаций, в том числе 28 ВУЗов, Кадетский корпус, общеобразовательная школа, семь общественных организаций. При этом всего была подана 321 заявка по пяти номинациям, в творческом соревновании приняли участие 379 человек.</w:t>
      </w:r>
    </w:p>
    <w:p>
      <w:pPr>
        <w:pStyle w:val="BodyText"/>
      </w:pPr>
      <w:r>
        <w:t xml:space="preserve">Для проведения конкурсных отборов залы и звуковую аппаратуру предоставили крупнейшие вузы столицы, в том числе РУДН. Наш округ в этом году представляли 96 конкурсантов из 4-х учебных заведений. Четверо из них получили Гран-при конкурса, 24 стали его лауреатами и 14 дипломантами.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http://uzao.mos.ru/presscenter/news/detail/7259972.html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2599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72599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2025-08-06T01:33:37Z</dcterms:created>
  <dcterms:modified xsi:type="dcterms:W3CDTF">2025-08-06T01:33:37Z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