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2678332ebde5270caa0177157702a0db19e30"/>
    <w:p>
      <w:pPr>
        <w:pStyle w:val="Heading3"/>
      </w:pPr>
      <w:r>
        <w:t xml:space="preserve">В многоквартирных домах ЮЗАО отремонтировали более 1 тысячи подъездов</w:t>
      </w:r>
    </w:p>
    <w:p>
      <w:pPr>
        <w:pStyle w:val="FirstParagraph"/>
      </w:pPr>
      <w:r>
        <w:t xml:space="preserve">30.06.2017</w:t>
      </w:r>
    </w:p>
    <w:p>
      <w:pPr>
        <w:pStyle w:val="BodyText"/>
      </w:pPr>
      <w:r>
        <w:rPr>
          <w:bCs/>
          <w:b/>
        </w:rPr>
        <w:t xml:space="preserve">Работа по выполнению программы капремонта проводится на достаточно высоком уровне в районах Зюзино, Черемушки, Северное и Южное Бутово. А вот показатели ниже среднего пока наблюдаются в Академическом, Гагаринском и Ломоносовском районах. Об этом сообщает интернет-газета "Москва За Калужской заставой" со ссылкой на управлении ЖКХиБ префектуры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этим префект ЮЗАО Олег Волков поручил главам управ и руководителям государственного бюджетного учреждения «Жилищник» активнее выполнять работу по сдаче объектов. Для этого прежде всего будет обеспечено взаимодействие с Фондом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сегодняшний день по многим адресам в ЮЗАО одновременно приводят в порядок подъезды и проводят работы по капремонту зданий. Всего из 1400 подъездов, которые планировали отремонтировать к 1 июля, в порядок приведены 1342. Из них специалисты Мосжилинспекции по ЮЗАО приняли в эксплуатацию лишь 1274, то есть 91 процент от общего плана.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http://uzao.mos.ru/presscenter/news/detail/6339204.html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339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339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2024-09-14T23:50:51Z</dcterms:created>
  <dcterms:modified xsi:type="dcterms:W3CDTF">2024-09-14T23:50:51Z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