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607cc428888ba5a5ae2459f929c096d0fa4bc6"/>
    <w:p>
      <w:pPr>
        <w:pStyle w:val="Heading3"/>
      </w:pPr>
      <w:r>
        <w:t xml:space="preserve">Точечное расширение платной парковки в ЮЗАО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rPr>
          <w:bCs/>
          <w:b/>
        </w:rPr>
        <w:t xml:space="preserve">26 декабря произошло очередное точечное расширение зоны платной парковки. Из районов ЮЗАО оно затронуло только Котловку.</w:t>
      </w:r>
    </w:p>
    <w:p>
      <w:pPr>
        <w:pStyle w:val="BodyText"/>
      </w:pPr>
      <w:r>
        <w:t xml:space="preserve">В этот раз парковка станет там платной на двух участках:</w:t>
      </w:r>
    </w:p>
    <w:p>
      <w:pPr>
        <w:pStyle w:val="BodyText"/>
      </w:pPr>
      <w:r>
        <w:t xml:space="preserve">-Весь 5-й Загородный проезд;</w:t>
      </w:r>
    </w:p>
    <w:p>
      <w:pPr>
        <w:pStyle w:val="BodyText"/>
      </w:pPr>
      <w:r>
        <w:t xml:space="preserve">-Севастопольский проспект (от пересечения с Нахимовским проспектом, возле ТЦ «Экспострой», до пересечения с улицей Дмитрия Ульянова).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Приказ о расширении зоны парковки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 правилах получения резидентных разрешений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О правилах парковки и стоимости абонементов</w:t>
        </w:r>
      </w:hyperlink>
    </w:p>
    <w:p>
      <w:pPr>
        <w:pStyle w:val="BodyText"/>
      </w:pPr>
      <w:r>
        <w:t xml:space="preserve">Более подробная информация  в разделе "Городские парковки" главного меню сайта и 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http://uzao.mos.ru/presscenter/news/detail/4512719.html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hoto-and-pictures-for-works/01%2012%202016_&#1052;&#1055;&#1055;-01-3829_16-1_&#1051;&#1080;&#1082;&#1089;&#1091;&#1090;&#1086;&#1074;_&#1052;%20&#1057;%20_&#1040;&#1085;&#1076;&#1088;&#1077;&#1081;&#1082;&#1080;&#1085;_&#1057;%20&#1057;%20%20(1).pdf" TargetMode="External" /><Relationship Type="http://schemas.openxmlformats.org/officeDocument/2006/relationships/hyperlink" Id="rId21" Target="/photo-and-pictures-for-works/&#1051;&#1080;&#1089;&#1090;&#1086;&#1074;&#1082;&#1072;_&#1088;&#1077;&#1079;&#1080;&#1076;&#1077;&#1085;&#1090;&#1099;%203%20&#1075;&#1086;&#1076;&#1072;_%20&#1040;4_%20&#1085;&#1072;%20&#1089;&#1086;&#1075;&#1083;.pdf" TargetMode="External" /><Relationship Type="http://schemas.openxmlformats.org/officeDocument/2006/relationships/hyperlink" Id="rId22" Target="/photo-and-pictures-for-works/&#1056;&#1072;&#1089;&#1096;&#1080;&#1088;&#1077;&#1085;&#1080;&#1077;_&#1074;&#1077;&#1088;&#1090;&#1080;&#1082;_&#1057;&#1054;&#1043;&#1051;%20(1).pdf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3" Target="http://uzao.mos.ru/nash-okrug/paid-parking/" TargetMode="External" /><Relationship Type="http://schemas.openxmlformats.org/officeDocument/2006/relationships/hyperlink" Id="rId24" Target="http://uzao.mos.ru/presscenter/news/detail/4512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hoto-and-pictures-for-works/01%2012%202016_&#1052;&#1055;&#1055;-01-3829_16-1_&#1051;&#1080;&#1082;&#1089;&#1091;&#1090;&#1086;&#1074;_&#1052;%20&#1057;%20_&#1040;&#1085;&#1076;&#1088;&#1077;&#1081;&#1082;&#1080;&#1085;_&#1057;%20&#1057;%20%20(1).pdf" TargetMode="External" /><Relationship Type="http://schemas.openxmlformats.org/officeDocument/2006/relationships/hyperlink" Id="rId21" Target="/photo-and-pictures-for-works/&#1051;&#1080;&#1089;&#1090;&#1086;&#1074;&#1082;&#1072;_&#1088;&#1077;&#1079;&#1080;&#1076;&#1077;&#1085;&#1090;&#1099;%203%20&#1075;&#1086;&#1076;&#1072;_%20&#1040;4_%20&#1085;&#1072;%20&#1089;&#1086;&#1075;&#1083;.pdf" TargetMode="External" /><Relationship Type="http://schemas.openxmlformats.org/officeDocument/2006/relationships/hyperlink" Id="rId22" Target="/photo-and-pictures-for-works/&#1056;&#1072;&#1089;&#1096;&#1080;&#1088;&#1077;&#1085;&#1080;&#1077;_&#1074;&#1077;&#1088;&#1090;&#1080;&#1082;_&#1057;&#1054;&#1043;&#1051;%20(1).pdf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3" Target="http://uzao.mos.ru/nash-okrug/paid-parking/" TargetMode="External" /><Relationship Type="http://schemas.openxmlformats.org/officeDocument/2006/relationships/hyperlink" Id="rId24" Target="http://uzao.mos.ru/presscenter/news/detail/4512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2025-07-24T14:59:18Z</dcterms:created>
  <dcterms:modified xsi:type="dcterms:W3CDTF">2025-07-24T14:59:18Z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