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632e16a1ed150ba7e0f2723bdc42d861c0460"/>
    <w:p>
      <w:pPr>
        <w:pStyle w:val="Heading3"/>
      </w:pPr>
      <w:r>
        <w:t xml:space="preserve">В 2016 году в ЮЗАО на благоустройство территорий было выделено свыше 180 миллионов рублей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rPr>
          <w:bCs/>
          <w:b/>
        </w:rPr>
        <w:t xml:space="preserve">Департамент транспорта подводит итоги работ по благоустройству, проводившихся в 2016 году управами районов на средства стимулирования.</w:t>
      </w:r>
    </w:p>
    <w:p>
      <w:pPr>
        <w:pStyle w:val="BodyText"/>
      </w:pPr>
      <w:r>
        <w:t xml:space="preserve">Средства стимулирования выделяются из городского бюджета. Они являются одним из главных источников финансирования работ по благоустройству территорий районов. Формируются эти средства за счет нескольких источников, основной из которых – деньги, полученные в виде платы за пользование городскими парковками (другие источники – поступления от налоговых платежей, покупки патентов на ведение предпринимательской деятельности и т.д.).</w:t>
      </w:r>
    </w:p>
    <w:p>
      <w:pPr>
        <w:pStyle w:val="BodyText"/>
      </w:pPr>
      <w:r>
        <w:t xml:space="preserve">Некоторые данные по ЮЗАО уже опубликованы Дептрансом в виде </w:t>
      </w:r>
      <w:hyperlink r:id="rId20">
        <w:r>
          <w:rPr>
            <w:rStyle w:val="Hyperlink"/>
          </w:rPr>
          <w:t xml:space="preserve">презентации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http://uzao.mos.ru/presscenter/news/detail/4250309.html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hoto-and-pictures-for-works/&#1044;&#1077;&#1087;&#1090;&#1088;&#1072;&#1085;&#1089;,%20&#1087;&#1088;&#1077;&#1079;&#1077;&#1085;&#1090;&#1072;&#1094;&#1080;&#1103;.pdf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250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hoto-and-pictures-for-works/&#1044;&#1077;&#1087;&#1090;&#1088;&#1072;&#1085;&#1089;,%20&#1087;&#1088;&#1077;&#1079;&#1077;&#1085;&#1090;&#1072;&#1094;&#1080;&#1103;.pdf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250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2024-10-27T06:05:37Z</dcterms:created>
  <dcterms:modified xsi:type="dcterms:W3CDTF">2024-10-27T06:05:37Z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