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c61932702860422ae612fd4128c0af19866b6"/>
    <w:p>
      <w:pPr>
        <w:pStyle w:val="Heading3"/>
      </w:pPr>
      <w:r>
        <w:t xml:space="preserve">Жители Юго-Запада смогут купить свежие ягоды в семи точках округа</w:t>
      </w:r>
    </w:p>
    <w:p>
      <w:pPr>
        <w:pStyle w:val="FirstParagraph"/>
      </w:pPr>
      <w:r>
        <w:t xml:space="preserve">03.06.2016</w:t>
      </w:r>
    </w:p>
    <w:p>
      <w:pPr>
        <w:pStyle w:val="BodyText"/>
      </w:pPr>
      <w:r>
        <w:rPr>
          <w:bCs/>
          <w:b/>
        </w:rPr>
        <w:t xml:space="preserve">Стали известны адреса площадок на территории Юго-Западного округа столицы, где с 1 июня открылась торговля клубникой и земляникой, привезенной из разных регионов России.</w:t>
      </w:r>
    </w:p>
    <w:p>
      <w:pPr>
        <w:pStyle w:val="BodyText"/>
      </w:pPr>
      <w:r>
        <w:t xml:space="preserve">Расположение «ягодных» ярмарок согласовано с местными властями и муниципальными депутатами районов столицы, а торговые места предоставляются региональным представителям бесплатно, что, в свою очередь, сделает цену более низкой и привлекательной для конечного потребителя.</w:t>
      </w:r>
    </w:p>
    <w:p>
      <w:pPr>
        <w:pStyle w:val="BodyText"/>
      </w:pPr>
      <w:r>
        <w:t xml:space="preserve">Предполагается, что в течение двух месяцев на здесь будет реализовываться продукция из 35 регионов, являющихся основными производителями клубники и земляники. Активное участие в торговле ягодами примут и подмосковные фермеры, которые попросили предоставить им торговые точки на 60 ярмарках.</w:t>
      </w:r>
    </w:p>
    <w:p>
      <w:pPr>
        <w:pStyle w:val="BodyText"/>
      </w:pPr>
      <w:r>
        <w:t xml:space="preserve">В Юго- Западном округе «ягодные» ярмарки расположены по следующим адресам:</w:t>
      </w:r>
    </w:p>
    <w:p>
      <w:pPr>
        <w:pStyle w:val="BodyText"/>
      </w:pPr>
      <w:r>
        <w:t xml:space="preserve">1. Улица Керченская, владение 8 (район Зюзино), регион производителя – Ставропольский край, период работы с 16 июня по 29 июля;</w:t>
      </w:r>
    </w:p>
    <w:p>
      <w:pPr>
        <w:pStyle w:val="BodyText"/>
      </w:pPr>
      <w:r>
        <w:t xml:space="preserve">2. Улица Азовская, владение 29, корп.1 (район Зюзино), регион производителя – Московская область, период работы с 16 июня по 29 июля;</w:t>
      </w:r>
    </w:p>
    <w:p>
      <w:pPr>
        <w:pStyle w:val="BodyText"/>
      </w:pPr>
      <w:r>
        <w:t xml:space="preserve">3. Бульвар Дмитрия Донского, владение 9, корп. 3, стр.1 (район Северное Бутово), регион производителя – Московская область, период работы с 16 июня по 29 июля;</w:t>
      </w:r>
    </w:p>
    <w:p>
      <w:pPr>
        <w:pStyle w:val="BodyText"/>
      </w:pPr>
      <w:r>
        <w:t xml:space="preserve">4. Улица Нагорная, дом 29, корп.1 (район Котловка), регион производителя - Краснодарский край, период работы с 1 июня по 29 июля;</w:t>
      </w:r>
    </w:p>
    <w:p>
      <w:pPr>
        <w:pStyle w:val="BodyText"/>
      </w:pPr>
      <w:r>
        <w:t xml:space="preserve">5. Улица Обручева, владение 16, корп.1 (район Обручевский), регион производителя – Московская область, период работы с 16 июня по 29 июля;</w:t>
      </w:r>
    </w:p>
    <w:p>
      <w:pPr>
        <w:pStyle w:val="BodyText"/>
      </w:pPr>
      <w:r>
        <w:t xml:space="preserve">6. Улица Теплый Стан, владение 5 , корп.1 (район Теплый Стан), регион производителя – Московская область, период работы с 16 июня по 29 июля;</w:t>
      </w:r>
    </w:p>
    <w:p>
      <w:pPr>
        <w:pStyle w:val="BodyText"/>
      </w:pPr>
      <w:r>
        <w:t xml:space="preserve">7. Улица Профсоюзная, дом 93, корп. 4 (район Коньково), регион производителя – Московская область, период работы с 16 июня по 29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http://uzao.mos.ru/presscenter/news/detail/3072081.html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72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3072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2024-04-30T17:35:06Z</dcterms:created>
  <dcterms:modified xsi:type="dcterms:W3CDTF">2024-04-30T17:35:06Z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