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начали-работать-ягодные-ярмарки"/>
    <w:p>
      <w:pPr>
        <w:pStyle w:val="Heading3"/>
      </w:pPr>
      <w:r>
        <w:t xml:space="preserve">В Москве начали работать «ягодные» ярмарки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rPr>
          <w:bCs/>
          <w:b/>
        </w:rPr>
        <w:t xml:space="preserve">С 1 июня в столице открылись 135 площадок для торговли клубникой и земляникой из регионов России – об этом сообщает городской Департамент торговли и услуг.</w:t>
      </w:r>
    </w:p>
    <w:p>
      <w:pPr>
        <w:pStyle w:val="BodyText"/>
      </w:pPr>
      <w:r>
        <w:t xml:space="preserve">Места для торговли свежими ягодами предоставляются региональным представителям бесплатно, что, в свою очередь, сделает цену более низкой. сделает стоимость продукции для конечного потребителя более привлекательной. Расположение «ягодных» ярмарок согласовано с местными властями и муниципальными депутатами районов столицы.</w:t>
      </w:r>
    </w:p>
    <w:p>
      <w:pPr>
        <w:pStyle w:val="BodyText"/>
      </w:pPr>
      <w:r>
        <w:t xml:space="preserve">Предполагается, что в течение двух месяцев на специально выделенных площадках будет реализовываться продукция из 35 регионов, в том числе из Астраханской, Брянской, Волгоградской и Тамбовской областей, Краснодарского, Ставропольского и Алтайского краев, а также Чувашии, Калмыкии, Адыгеи, Крыма и др. В этот список были включены субъекты, относящиеся к основным производителям клубники и земляники. Активное участие в торговле ягодами примут и подмосковные фермеры, которые попросили предоставить им торговые точки на 60 ярмарках.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http://uzao.mos.ru/presscenter/news/detail/3057347.html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57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57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2025-05-22T17:05:42Z</dcterms:created>
  <dcterms:modified xsi:type="dcterms:W3CDTF">2025-05-22T17:05:42Z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