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5d832e9f64396ef9c693d64d9599413422a09"/>
    <w:p>
      <w:pPr>
        <w:pStyle w:val="Heading3"/>
      </w:pPr>
      <w:r>
        <w:t xml:space="preserve">Опубликован маршрут шествия участников проекта «Бессмертный полк»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rPr>
          <w:bCs/>
          <w:b/>
        </w:rPr>
        <w:t xml:space="preserve">Как и в прошлом году, шествие начнется 9 мая по окончании военного парада. Оно стартует в 15.00 от станции метро «Динамо. </w:t>
      </w:r>
    </w:p>
    <w:p>
      <w:pPr>
        <w:pStyle w:val="BodyText"/>
      </w:pPr>
      <w:r>
        <w:t xml:space="preserve">Участники шествия должны соблюдать несколько несложных правил (они также практически не изменились).</w:t>
      </w:r>
    </w:p>
    <w:p>
      <w:pPr>
        <w:pStyle w:val="BodyText"/>
      </w:pPr>
      <w:r>
        <w:drawing>
          <wp:inline>
            <wp:extent cx="5334000" cy="37519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полк%20маршру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19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http://uzao.mos.ru/presscenter/news/detail/2907564.html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907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907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2025-07-16T22:20:41Z</dcterms:created>
  <dcterms:modified xsi:type="dcterms:W3CDTF">2025-07-16T22:20:41Z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