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b4e8df827d4ff0bbfc2d1abe7d887b7b77e5a"/>
    <w:p>
      <w:pPr>
        <w:pStyle w:val="Heading3"/>
      </w:pPr>
      <w:r>
        <w:t xml:space="preserve">Департамент СМИ и рекламы объявил конкурс на лучшее оформление витрин к Новому году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rPr>
          <w:bCs/>
          <w:b/>
        </w:rPr>
        <w:t xml:space="preserve">В ходе конкурса, который начнется 28 декабря, будут оцениваться витрины и входные группы с точки зрения оригинальности художественного оформления, применения инновационных решений при световом оформлении, а также использования символики общегородской новогодней концепции.</w:t>
      </w:r>
    </w:p>
    <w:p>
      <w:pPr>
        <w:pStyle w:val="BodyText"/>
      </w:pPr>
      <w:r>
        <w:t xml:space="preserve">В официальном сообщении ведомства уточняется, что оцениваться будут витрины кафе, ресторанов, магазинов и торговых центров, финансово-кредитных учреждений и некоммерческих организаций. В конкурсе, который стартует 28 декабря, сможет принять участие любая организация, работающая на территории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http://uzao.mos.ru/presscenter/news/detail/2399103.html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99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99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2024-08-29T00:25:35Z</dcterms:created>
  <dcterms:modified xsi:type="dcterms:W3CDTF">2024-08-29T00:25:35Z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