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f0ca785c10eb493edd77add888b19110794cc3"/>
    <w:p>
      <w:pPr>
        <w:pStyle w:val="Heading3"/>
      </w:pPr>
      <w:r>
        <w:t xml:space="preserve">На заседании Общественного совета ЮЗАО были обсуждены итоги работы Московского гражданского форума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rPr>
          <w:bCs/>
          <w:b/>
        </w:rPr>
        <w:t xml:space="preserve">10 декабря в Юго-Западном Филиале Дома общественных организаций г. Москвы (ул. Винокурова, д.2) состоялось заседание деловой сессии Территориального общественного совета ЮЗАО по итогам VII Московского гражданского форума, прошедшего под девизом «Моя Москва – город партнерства общества и власти».</w:t>
      </w:r>
    </w:p>
    <w:p>
      <w:pPr>
        <w:pStyle w:val="BodyText"/>
      </w:pPr>
      <w:r>
        <w:t xml:space="preserve">В работе сессии приняли участие члены Общественной палаты г. Москвы Пученкова И.Г. (член комиссии по развитию предпринимательства ОПгМ, руководитель общественной приемной ОПгМ) и Густова Э.Г. (руководитель комиссии по здравоохранению ОПгМ), которые проинформировали членов Совета о работе Московского гражданского форума.</w:t>
      </w:r>
    </w:p>
    <w:p>
      <w:pPr>
        <w:pStyle w:val="BodyText"/>
      </w:pPr>
      <w:r>
        <w:t xml:space="preserve">В ходе состоявшихся обсуждений была отмечена возрастающая роль институтов гражданского общества, определены приоритеты взаимодействия институтов гражданского общества и власти.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zao.mos.ru/www/download/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http://uzao.mos.ru/presscenter/news/detail/2368848.html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uzao.mos.ru" TargetMode="External" /><Relationship Type="http://schemas.openxmlformats.org/officeDocument/2006/relationships/hyperlink" Id="rId26" Target="http://uzao.mos.ru/presscenter/news/detail/2368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uzao.mos.ru" TargetMode="External" /><Relationship Type="http://schemas.openxmlformats.org/officeDocument/2006/relationships/hyperlink" Id="rId26" Target="http://uzao.mos.ru/presscenter/news/detail/2368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2025-02-11T14:20:56Z</dcterms:created>
  <dcterms:modified xsi:type="dcterms:W3CDTF">2025-02-11T14:20:56Z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