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тные-парковки-сколько-это-стоит"/>
    <w:p>
      <w:pPr>
        <w:pStyle w:val="Heading3"/>
      </w:pPr>
      <w:r>
        <w:t xml:space="preserve">Платные парковки: сколько это стоит</w:t>
      </w:r>
    </w:p>
    <w:p>
      <w:pPr>
        <w:pStyle w:val="FirstParagraph"/>
      </w:pPr>
      <w:r>
        <w:t xml:space="preserve">12.10.2015</w:t>
      </w:r>
    </w:p>
    <w:p>
      <w:pPr>
        <w:pStyle w:val="BodyText"/>
      </w:pPr>
      <w:r>
        <w:t xml:space="preserve">Платные парковки, как и прежде не затрагивают дворовые территории.  Правительство Москвы оказывает помощь жителям районов, в которых парковки начали работать в платном режиме, в установке шлагбаумов на въездах во дворы и компенсирует значительную часть расходов на это мероприятие.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http://uzao.mos.ru/presscenter/news/detail/2220881.html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20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20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2024-10-08T10:28:20Z</dcterms:created>
  <dcterms:modified xsi:type="dcterms:W3CDTF">2024-10-08T10:28:20Z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