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f3fceb298bae4fea1692f4486fad8181b0ac3d"/>
    <w:p>
      <w:pPr>
        <w:pStyle w:val="Heading3"/>
      </w:pPr>
      <w:r>
        <w:t xml:space="preserve">Как получить резидентское разрешение на бесплатную парковку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t xml:space="preserve">Департамент транспорта разъяснил, где и как можно получить резидентские разрешения, и как ими пользоваться.</w:t>
      </w:r>
    </w:p>
    <w:p>
      <w:pPr>
        <w:pStyle w:val="BodyText"/>
      </w:pPr>
      <w:r>
        <w:drawing>
          <wp:inline>
            <wp:extent cx="5334000" cy="75142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photo-and-pictures-for-works/лист%2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42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64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zao.mos.ru/www/photo-and-pictures-for-works/лист%202л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6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http://uzao.mos.ru/presscenter/news/detail/2214098.html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2214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zao.mos.ru" TargetMode="External" /><Relationship Type="http://schemas.openxmlformats.org/officeDocument/2006/relationships/hyperlink" Id="rId26" Target="http://uzao.mos.ru/presscenter/news/detail/2214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2024-09-11T18:14:43Z</dcterms:created>
  <dcterms:modified xsi:type="dcterms:W3CDTF">2024-09-11T18:14:43Z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