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da8a9bbbdcab4fe1e7c6f17ba2673fe2b08bd"/>
    <w:p>
      <w:pPr>
        <w:pStyle w:val="Heading3"/>
      </w:pPr>
      <w:r>
        <w:t xml:space="preserve">Как оформить парковочное разрешение для многодетной семьи или инвалида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С 10 октября произойдет точечное расширение зоны платной парковки. Проживающим вблизи от таких точек льготникам, имеющим личный автотранспорт, следует заблаговременно заняться оформлением бесплатных разрешений на парковку.</w:t>
      </w:r>
    </w:p>
    <w:p>
      <w:pPr>
        <w:pStyle w:val="BodyText"/>
      </w:pPr>
      <w:r>
        <w:t xml:space="preserve">Департамент Транспорта предлагает ознакомиться с простейшей инструкцией, в которой отражены необходимые действия и основные правила использования таких разрешений.</w:t>
      </w:r>
    </w:p>
    <w:p>
      <w:pPr>
        <w:pStyle w:val="BodyText"/>
      </w:pPr>
      <w:r>
        <w:drawing>
          <wp:inline>
            <wp:extent cx="5334000" cy="74829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цодд%2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82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http://uzao.mos.ru/presscenter/news/detail/2204102.html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204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204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2025-02-03T19:33:57Z</dcterms:created>
  <dcterms:modified xsi:type="dcterms:W3CDTF">2025-02-03T19:33:57Z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