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c372f7b24e392789ae67088b9732f58a7931e"/>
    <w:p>
      <w:pPr>
        <w:pStyle w:val="Heading3"/>
      </w:pPr>
      <w:r>
        <w:t xml:space="preserve">75 тысяч торговых объектов встали на учет для уплаты торгового сбора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rPr>
          <w:bCs/>
          <w:b/>
        </w:rPr>
        <w:t xml:space="preserve">Руководитель Департамента экономической политики Максим Решетников, выступая на форуме «Эффективная налоговая политика регионов. Опыт Москвы», оценил поступления от уплаты торгового сбора по итогам года – они могут быть порядка 2 млрд. руб. И это при том, что первый раз платежи по торговому сбору будут произведены 26 октября.</w:t>
      </w:r>
    </w:p>
    <w:p>
      <w:pPr>
        <w:pStyle w:val="BodyText"/>
      </w:pPr>
      <w:r>
        <w:t xml:space="preserve">М. Решетников также отметил, что городские власти в тесном взаимодействии с федеральной налоговой службой по Москве сделали все, чтобы процесс введения торгового сбора прошел максимально безболезненно и комфортно для бизнеса.</w:t>
      </w:r>
    </w:p>
    <w:p>
      <w:pPr>
        <w:pStyle w:val="BodyText"/>
      </w:pPr>
      <w:r>
        <w:t xml:space="preserve">«Не многие знают и ощутили, но с 1 июля у нас 44 тыс. уведомлений подано по торговому сбору, 75 тыс. торговых объектов встали на учет.», - сказал М.Решетников.</w:t>
      </w:r>
    </w:p>
    <w:p>
      <w:pPr>
        <w:pStyle w:val="BodyText"/>
      </w:pPr>
      <w:r>
        <w:t xml:space="preserve">Закон о торговом сборе вступил в силу в столице с 1 июля.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http://uzao.mos.ru/presscenter/news/detail/2192464.html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92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92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2025-07-18T16:15:38Z</dcterms:created>
  <dcterms:modified xsi:type="dcterms:W3CDTF">2025-07-18T16:15:38Z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