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1991786cc5765b83dbdb5458f2d7a296d0ce1"/>
    <w:p>
      <w:pPr>
        <w:pStyle w:val="Heading3"/>
      </w:pPr>
      <w:r>
        <w:t xml:space="preserve">665 процентов – рост цены аренды участка под бахчевой развал, выставленного городом на торги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rPr>
          <w:bCs/>
          <w:b/>
        </w:rPr>
        <w:t xml:space="preserve">По итогам завершившейся торговой сессии за право аренды площадок для ведения торговли бахчевыми культурами руководитель Департамента города Москвы по конкурентной политике Геннадий Дёгтев сообщил представителям СМИ, что в результате очередных торгов было реализовано 18 объектов, расположенных в Северном и Юго-Западном административных округах. Начальная стоимость по всем лотам была увеличена в среднем более чем на 390 процентов.</w:t>
      </w:r>
    </w:p>
    <w:p>
      <w:pPr>
        <w:pStyle w:val="BodyText"/>
      </w:pPr>
      <w:r>
        <w:t xml:space="preserve">Как отметил Г. Дегтев, на участие в торгах поступило более 120 заявок. В на каждый лот претендовали от 4 до 11 предпринимателей. Самая острая конкуренция наблюдалась на торгах за объект на Университетском проспекте, где превышение цены составило 665% (окончательная цена ежемесячной аренды там составила 153 тысячи рублей при начальной - в 20 тысяч рублей).</w:t>
      </w:r>
    </w:p>
    <w:p>
      <w:pPr>
        <w:pStyle w:val="BodyText"/>
      </w:pPr>
      <w:r>
        <w:t xml:space="preserve">В тройку лидеров по превышению начальной цены также вошли объекты на улицах Нагорной и Академика Челомея, где превышение начальной цены составило 595% и 540% соответственно. </w:t>
      </w:r>
    </w:p>
    <w:p>
      <w:pPr>
        <w:pStyle w:val="BodyText"/>
      </w:pPr>
      <w:r>
        <w:t xml:space="preserve">Права аренды, приобретаемые на торгах Правительства Москвы, действиут в течение четырех лет в рамках сезона продажи бахчевых культур.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http://uzao.mos.ru/presscenter/news/detail/2119810.html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19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19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2024-08-26T23:18:32Z</dcterms:created>
  <dcterms:modified xsi:type="dcterms:W3CDTF">2024-08-26T23:18:32Z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