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b9a42d7e17aeb91d16d5fb0b5748400db0125"/>
    <w:p>
      <w:pPr>
        <w:pStyle w:val="Heading3"/>
      </w:pPr>
      <w:r>
        <w:t xml:space="preserve">Площадки под размещение бахчевых развалов в ЮЗАО оказались самыми востребованными у бизнесменов</w:t>
      </w:r>
    </w:p>
    <w:p>
      <w:pPr>
        <w:pStyle w:val="FirstParagraph"/>
      </w:pPr>
      <w:r>
        <w:t xml:space="preserve">17.08.2015</w:t>
      </w:r>
    </w:p>
    <w:p>
      <w:pPr>
        <w:pStyle w:val="BodyText"/>
      </w:pPr>
      <w:r>
        <w:t xml:space="preserve">В ходе двух торговых сессий на электронной аукционной площадке уже реализовано 18 объектов. Об этом сообщил руководитель Департамента по конкурентной политике Геннадий Дёгтев.</w:t>
      </w:r>
    </w:p>
    <w:p>
      <w:pPr>
        <w:pStyle w:val="BodyText"/>
      </w:pPr>
      <w:r>
        <w:t xml:space="preserve">«По 30 объектам заявочная кампания завершена, идут электронные торги. На них подано 216 заявок. Максимальное количество допущенных участников по некоторым лотам составляет 11-12. Наибольший интерес предпринимателей наблюдается по местам, расположенным на юго-западе столицы», - рассказал глава Департамента по конкурентной политике.</w:t>
      </w:r>
    </w:p>
    <w:p>
      <w:pPr>
        <w:pStyle w:val="BodyText"/>
      </w:pPr>
      <w:r>
        <w:t xml:space="preserve">Павильоны для торговли арбузами и дынями должны соответствовать не только ряду строгих санитарных требований, но и утвержденным архитектурным проектам. Бахчевые развалы в новом формате появятся в Зеленограде, Юго-Западном и Северо-Восточной округах Москвы. Как сообщили представители Департамента, в среднем на один объект претендовали 9,5 участников. Превышение стартовой цены на проведенных торгах в среднем составило 227 процентов. В течение недели завершится заявочная кампания еще по 45 объектам со специализацией «бахчевые культуры».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http://uzao.mos.ru/presscenter/news/detail/2079603.html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079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079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2025-02-14T01:02:40Z</dcterms:created>
  <dcterms:modified xsi:type="dcterms:W3CDTF">2025-02-14T01:02:40Z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