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e6593df201552580393685bfe31e014f171236"/>
    <w:p>
      <w:pPr>
        <w:pStyle w:val="Heading3"/>
      </w:pPr>
      <w:r>
        <w:t xml:space="preserve">В 2015 году палатки на столичных ярмарках будут замены на шатры, которые среди первых оценили жители ЮЗАО</w:t>
      </w:r>
    </w:p>
    <w:p>
      <w:pPr>
        <w:pStyle w:val="FirstParagraph"/>
      </w:pPr>
      <w:r>
        <w:t xml:space="preserve">21.07.2015</w:t>
      </w:r>
    </w:p>
    <w:p>
      <w:pPr>
        <w:pStyle w:val="BodyText"/>
      </w:pPr>
      <w:r>
        <w:rPr>
          <w:bCs/>
          <w:b/>
        </w:rPr>
        <w:t xml:space="preserve">Глава столичного департамента торговли и услуг Алексей Немерюк сообщил, что распространенный сегодня на городских ярмарках тип палатки уступит место новой конструкции, которую власти уже опробовали в двух округах - ЮЗАО и ЗАО..</w:t>
      </w:r>
    </w:p>
    <w:p>
      <w:pPr>
        <w:pStyle w:val="BodyText"/>
      </w:pPr>
      <w:r>
        <w:t xml:space="preserve">«Мы будем менять поэтапно все, надеюсь, что в этом году мы постараемся от 40% до 50% ярмарок уже оборудовать новыми палатками», - сказал А.Немерюк. Он также отметил, что новые конструкции более долговечны и позволяют фермерам более качественно сохранять продукцию для реализации. Кроме этого, как выразился глава ведомства, их внешний вид более презентабельный.</w:t>
      </w:r>
    </w:p>
    <w:p>
      <w:pPr>
        <w:pStyle w:val="BodyText"/>
      </w:pPr>
      <w:r>
        <w:t xml:space="preserve">«Мы произвели два вида конструкций - одна является разделенной на две части и предназначенная для тех улиц, которые имеют недостаточную ширину прохода, и есть туннельные палатки, шатры, где можно будет входить вовнутрь. Мы опробовали эти конструкции в ЮЗАО и ЗАО, как в зимнее время, так и в весеннее. В целом фермеры восприняли их позитивно», - сказал А.Немерюк.</w:t>
      </w:r>
    </w:p>
    <w:p>
      <w:pPr>
        <w:pStyle w:val="BodyText"/>
      </w:pPr>
      <w:r>
        <w:drawing>
          <wp:inline>
            <wp:extent cx="5334000" cy="269367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zao.mos.ru/www/download/8fa9d6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936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http://uzao.mos.ru/presscenter/news/detail/2022425.html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uzao.mos.ru" TargetMode="External" /><Relationship Type="http://schemas.openxmlformats.org/officeDocument/2006/relationships/hyperlink" Id="rId23" Target="http://uzao.mos.ru/presscenter/news/detail/20224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uzao.mos.ru" TargetMode="External" /><Relationship Type="http://schemas.openxmlformats.org/officeDocument/2006/relationships/hyperlink" Id="rId23" Target="http://uzao.mos.ru/presscenter/news/detail/20224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2025-07-18T16:21:36Z</dcterms:created>
  <dcterms:modified xsi:type="dcterms:W3CDTF">2025-07-18T16:21:36Z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