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4efb6f203cb550692c61b822eaae215fc2aa57"/>
    <w:p>
      <w:pPr>
        <w:pStyle w:val="Heading3"/>
      </w:pPr>
      <w:r>
        <w:t xml:space="preserve">Департамент по конкурентной политике организует в ближайшее время аукционы на право аренды еще 50 мест для размещения бахчевых развалов</w:t>
      </w:r>
    </w:p>
    <w:p>
      <w:pPr>
        <w:pStyle w:val="FirstParagraph"/>
      </w:pPr>
      <w:r>
        <w:t xml:space="preserve">20.07.2015</w:t>
      </w:r>
    </w:p>
    <w:p>
      <w:pPr>
        <w:pStyle w:val="BodyText"/>
      </w:pPr>
      <w:r>
        <w:rPr>
          <w:bCs/>
          <w:b/>
        </w:rPr>
        <w:t xml:space="preserve">Департамент по конкурентной политике сообщил, что были выставлены на электронные аукционы 93 места для размещения объектов нестационарной торговли с назначением «бахчевые развалы».</w:t>
      </w:r>
    </w:p>
    <w:p>
      <w:pPr>
        <w:pStyle w:val="BodyText"/>
      </w:pPr>
      <w:r>
        <w:t xml:space="preserve">Первыми, как сообщалось ранее, были выставлены на торги объекты в ЮЗАО и ЗелАО. Лотовая документация и другая важная информация по этим площадкам размещена в разделе</w:t>
      </w:r>
      <w:r>
        <w:t xml:space="preserve"> </w:t>
      </w:r>
      <w:hyperlink r:id="rId20">
        <w:r>
          <w:rPr>
            <w:rStyle w:val="Hyperlink"/>
          </w:rPr>
          <w:t xml:space="preserve">«Наш округ/Потребительский рынок/ «Бахчевые развалы» (торги)»</w:t>
        </w:r>
      </w:hyperlink>
    </w:p>
    <w:p>
      <w:pPr>
        <w:pStyle w:val="BodyText"/>
      </w:pPr>
      <w:r>
        <w:t xml:space="preserve">Как сообщил руководитель Департамента города Москвы по конкурентной политике Геннадий Дёгтев, в ближайшее время на аукционы будут выставлены еще около 50 мест под нестационарные торговые объекты, предназначенные для торговли бахчевыми культурами.</w:t>
      </w:r>
    </w:p>
    <w:p>
      <w:pPr>
        <w:pStyle w:val="BodyText"/>
      </w:pPr>
      <w:r>
        <w:t xml:space="preserve">Согласно лотовой документации, победитель торгов сам устанавливает торговый объект (его архитектурный проект прилагается к пакету документации), после чего представители префектуры административного округа, Комитета по архитектуре и градостроительству города, Госинспекции по контролю за использованием объектов недвижимости и ОАТИ подписывают акт приемки НТО.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http://uzao.mos.ru/presscenter/news/detail/2018272.html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0" Target="http://uzao.mos.ru/nash-okrug/consumer-market/melon-stalls-auction/" TargetMode="External" /><Relationship Type="http://schemas.openxmlformats.org/officeDocument/2006/relationships/hyperlink" Id="rId21" Target="http://uzao.mos.ru/presscenter/news/detail/20182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0" Target="http://uzao.mos.ru/nash-okrug/consumer-market/melon-stalls-auction/" TargetMode="External" /><Relationship Type="http://schemas.openxmlformats.org/officeDocument/2006/relationships/hyperlink" Id="rId21" Target="http://uzao.mos.ru/presscenter/news/detail/20182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2025-05-13T03:02:19Z</dcterms:created>
  <dcterms:modified xsi:type="dcterms:W3CDTF">2025-05-13T03:02:19Z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