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gif" ContentType="image/gif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4327382e53d87691c1194d7a86b6f01c6cdfd55"/>
    <w:p>
      <w:pPr>
        <w:pStyle w:val="Heading3"/>
      </w:pPr>
      <w:r>
        <w:t xml:space="preserve">Фонд капремонта набирает специалистов, которые будут проверять качество работ и обоснованность трат</w:t>
      </w:r>
    </w:p>
    <w:p>
      <w:pPr>
        <w:pStyle w:val="FirstParagraph"/>
      </w:pPr>
      <w:r>
        <w:t xml:space="preserve">09.07.2015</w:t>
      </w:r>
    </w:p>
    <w:p>
      <w:pPr>
        <w:pStyle w:val="BodyText"/>
      </w:pPr>
      <w:r>
        <w:rPr>
          <w:bCs/>
          <w:b/>
        </w:rPr>
        <w:t xml:space="preserve">Московский Фонд капремонта решил расширить на несколько сот человек штат инженеров и сметчиков. Уже объявлен конкурс для желающих занять соответствующие должности, и на объявление уже откликнулись более тысячи человек. Специальная комиссия сейчас выбирает инженеров технадзора – они будут отвечать за качество ремонта и принимать его у подрядчиков. Ищут также сметчиков – они будут отчитываются за каждую потраченную копейку.</w:t>
      </w:r>
    </w:p>
    <w:p>
      <w:pPr>
        <w:pStyle w:val="BodyText"/>
      </w:pPr>
      <w:r>
        <w:t xml:space="preserve">Как заявил генеральный директор Фонда капитального ремонта многоквартирных домов Москвы Артур Кескинов, люди имеют базовое образование – это важно, и люди имеют опыт работы от 6 лет и выше, но специфика капремонта – выстраивание отношений именно с собственниками.</w:t>
      </w:r>
    </w:p>
    <w:p>
      <w:pPr>
        <w:pStyle w:val="BodyText"/>
      </w:pPr>
      <w:r>
        <w:t xml:space="preserve">Поэтому, кроме профессионального, кандидаты проходят психологическое тестирование, а также индивидуальное интервью. Финалистов будут тестировать непосредственно в Фонде капремонта. До конца года планируют набрать еще и сотрудников абонентской службы, юридического и финансового отделов, а также IT-специалистов. Всего около 400 сотрудников.</w:t>
      </w:r>
    </w:p>
    <w:bookmarkStart w:id="20" w:name="videocontainer_9406"/>
    <w:bookmarkEnd w:id="20"/>
    <w:p>
      <w:pPr>
        <w:pStyle w:val="BodyText"/>
      </w:pPr>
      <w:r>
        <w:drawing>
          <wp:inline>
            <wp:extent cx="12700" cy="1270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https://mc.yandex.ru/watch/14130097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" cy="12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http://uzao.mos.ru/presscenter/news/detail/1997858.html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gif" /><Relationship Type="http://schemas.openxmlformats.org/officeDocument/2006/relationships/hyperlink" Id="rId25" Target="http://uzao.mos.ru" TargetMode="External" /><Relationship Type="http://schemas.openxmlformats.org/officeDocument/2006/relationships/hyperlink" Id="rId24" Target="http://uzao.mos.ru/presscenter/news/detail/19978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uzao.mos.ru" TargetMode="External" /><Relationship Type="http://schemas.openxmlformats.org/officeDocument/2006/relationships/hyperlink" Id="rId24" Target="http://uzao.mos.ru/presscenter/news/detail/19978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2024-11-20T01:33:52Z</dcterms:created>
  <dcterms:modified xsi:type="dcterms:W3CDTF">2024-11-20T01:33:52Z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