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1c748e4a37b160f2b0eb042106d5755e33a89"/>
    <w:p>
      <w:pPr>
        <w:pStyle w:val="Heading3"/>
      </w:pPr>
      <w:r>
        <w:t xml:space="preserve">Открылись аукционы на право вести торговлю на девяти «бахчевых развалах» в ЮЗАО</w:t>
      </w:r>
    </w:p>
    <w:p>
      <w:pPr>
        <w:pStyle w:val="FirstParagraph"/>
      </w:pPr>
      <w:r>
        <w:t xml:space="preserve">02.07.2015</w:t>
      </w:r>
    </w:p>
    <w:p>
      <w:pPr>
        <w:pStyle w:val="BodyText"/>
      </w:pPr>
      <w:r>
        <w:rPr>
          <w:bCs/>
          <w:b/>
        </w:rPr>
        <w:t xml:space="preserve">Департамент по конкурентной политике объявил о выставлении на электронные торги площадок для размещения нестационарных торговых объектов с назначением «бахчевые культуры». Первыми были выставлены 13 объектов, расположенных в Юго-Западном и Зеленоградском административных округах.</w:t>
      </w:r>
    </w:p>
    <w:p>
      <w:pPr>
        <w:pStyle w:val="BodyText"/>
      </w:pPr>
      <w:r>
        <w:t xml:space="preserve">Предприниматель, выигравший конкурс, получает право размещать бахчевой развал на земельном участке площадью 4 кв. м в течение пяти лет в сезонном режиме – с августа по октябрь.</w:t>
      </w:r>
    </w:p>
    <w:p>
      <w:pPr>
        <w:pStyle w:val="BodyText"/>
      </w:pPr>
      <w:r>
        <w:t xml:space="preserve">Как сообщил глава Департамента по конкурентной политике Геннадий Дёгтев, стартовая цена по каждому из девяти лотов, расположенных на юго-западе города, составляет 20 тысяч рублей, и участники аукциона будут торговаться за размер ежемесячной платы на право размещения торговой точки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Победитель торгов сам устанавливает торговый объект, после чего представители префектуры административного округа, Комитета по архитектуре и градостроительству города, Госинспекции по контролю за использованием объектов недвижимости города и объединения административно-технических инспекций подписывают акт приемки объекта. Все бахчевые развалы должны быть выполнены в лаконичном стиле по типовому архитектурному решению, разработанному Комитетом по архитектуре и градостроительству города Москвы. Арендатор принимает на себя обязанность содержать в надлежащем виде прилегающую территорию.</w:t>
      </w:r>
    </w:p>
    <w:p>
      <w:pPr>
        <w:pStyle w:val="BodyText"/>
      </w:pPr>
      <w:r>
        <w:t xml:space="preserve">Подробно ознакомиться с документацией по лотам второй серии аукционов можно на сайте Департамента по конкурентной политике и на Инвестиционном портале Москвы.</w:t>
      </w:r>
    </w:p>
    <w:p>
      <w:pPr>
        <w:pStyle w:val="BodyText"/>
      </w:pPr>
      <w:r>
        <w:t xml:space="preserve">Заявки для участия в торгах принимаются по 31 июля. Итоги аукционов будут подведены 4 августа 2015 года.</w:t>
      </w:r>
    </w:p>
    <w:p>
      <w:pPr>
        <w:pStyle w:val="BodyText"/>
      </w:pPr>
      <w:r>
        <w:t xml:space="preserve">Г. Дёгтев сообщил, что в ближайшее время на аукционы будет выставлено еще более 200 нестационарных торговых объектов для торговли бахчевыми культурами.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http://uzao.mos.ru/presscenter/news/detail/1977692.html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77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77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2025-05-09T23:39:55Z</dcterms:created>
  <dcterms:modified xsi:type="dcterms:W3CDTF">2025-05-09T23:39:55Z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