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c93c1f4efbfaaa57c2e61e5ff83d78a39b1d1"/>
    <w:p>
      <w:pPr>
        <w:pStyle w:val="Heading3"/>
      </w:pPr>
      <w:r>
        <w:t xml:space="preserve">Организации и индивидуальные предприниматели, ведущие торговую деятельность, должны до 7 июля направить уведомления в налоговую службу, если хотят быть освобождены от торгового сбора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rPr>
          <w:bCs/>
          <w:b/>
        </w:rPr>
        <w:t xml:space="preserve">24 июня 2015 Московская городская дума приняла изменения в закон города Москвы о торговом сборе (Закон г. Москвы № 62 от 17.12.2014 «О торговом сборе»), который предусматривает расширение перечня объектов, получивших льготы.</w:t>
      </w:r>
    </w:p>
    <w:p>
      <w:pPr>
        <w:pStyle w:val="BodyText"/>
      </w:pPr>
      <w:r>
        <w:t xml:space="preserve">Согласно принятым поправкам в закон, от уплаты сбора освобождаются организации и индивидуальные предприниматели, оказывающие бытовые услуги, если:</w:t>
      </w:r>
    </w:p>
    <w:p>
      <w:pPr>
        <w:pStyle w:val="BodyText"/>
      </w:pPr>
      <w:r>
        <w:t xml:space="preserve">- Используются объекты нестационарной торговой сети, стационарной торговой сети без зала или с залом общей площадью менее 100 кв.м;</w:t>
      </w:r>
    </w:p>
    <w:p>
      <w:pPr>
        <w:pStyle w:val="BodyText"/>
      </w:pPr>
      <w:r>
        <w:t xml:space="preserve">- Основной вид деятельности, указанный при государственной регистрации, относится к предоставлению услуг парикмахерскими и салонами красоты, стирки, химической чистки и окрашивания текстильных и меховых изделий, ремонту одежды, ремонту обуви и прочих изделий из кожи, часов и ювелирных изделий, изготовлению и ремонту металлической галантереи и ключей;</w:t>
      </w:r>
    </w:p>
    <w:p>
      <w:pPr>
        <w:pStyle w:val="BodyText"/>
      </w:pPr>
      <w:r>
        <w:t xml:space="preserve">- Площадь, занятая оборудованием, предназначенным для выкладки и демонстрации товаров, составляет не более 10% в общей площади объекта.</w:t>
      </w:r>
    </w:p>
    <w:p>
      <w:pPr>
        <w:pStyle w:val="BodyText"/>
      </w:pPr>
      <w:r>
        <w:t xml:space="preserve">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налоговую службу. Неуведомление или просрочка уведомления налоговых органов исключают возможность применения льгот по уплате торгового сбора в соответствующем налоговом периоде.</w:t>
      </w:r>
    </w:p>
    <w:p>
      <w:pPr>
        <w:pStyle w:val="BodyText"/>
      </w:pPr>
      <w:r>
        <w:t xml:space="preserve">(подробности - </w:t>
      </w:r>
      <w:hyperlink r:id="rId20">
        <w:r>
          <w:rPr>
            <w:rStyle w:val="Hyperlink"/>
          </w:rPr>
          <w:t xml:space="preserve">в разделе</w:t>
        </w:r>
      </w:hyperlink>
      <w:r>
        <w:t xml:space="preserve"> "Наш округ/Потребительский рынок/Бытовые услуги"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http://uzao.mos.ru/presscenter/news/detail/1966073.html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household-services/?bitrix_include_areas=N&amp;clear_cache=Y" TargetMode="External" /><Relationship Type="http://schemas.openxmlformats.org/officeDocument/2006/relationships/hyperlink" Id="rId21" Target="http://uzao.mos.ru/presscenter/news/detail/1966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household-services/?bitrix_include_areas=N&amp;clear_cache=Y" TargetMode="External" /><Relationship Type="http://schemas.openxmlformats.org/officeDocument/2006/relationships/hyperlink" Id="rId21" Target="http://uzao.mos.ru/presscenter/news/detail/1966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2025-07-18T16:15:44Z</dcterms:created>
  <dcterms:modified xsi:type="dcterms:W3CDTF">2025-07-18T16:15:44Z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