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eae8e0982d828ad5fc8585074940988f3c738"/>
    <w:p>
      <w:pPr>
        <w:pStyle w:val="Heading3"/>
      </w:pPr>
      <w:r>
        <w:t xml:space="preserve">На региональных ярмарках в ЮЗАО снова поменялись компании-продавцы</w:t>
      </w:r>
    </w:p>
    <w:p>
      <w:pPr>
        <w:pStyle w:val="FirstParagraph"/>
      </w:pPr>
      <w:r>
        <w:t xml:space="preserve">01.06.2015</w:t>
      </w:r>
    </w:p>
    <w:p>
      <w:pPr>
        <w:pStyle w:val="BodyText"/>
      </w:pPr>
      <w:r>
        <w:rPr>
          <w:bCs/>
          <w:b/>
        </w:rPr>
        <w:t xml:space="preserve">Регионы, представленные на площадках специализированных продуктовых ярмарок в столице, в соответствии с утвержденными графиками постоянно меняются. Не являются исключением и региональные ярмарки в ЮЗАО.</w:t>
      </w:r>
    </w:p>
    <w:p>
      <w:pPr>
        <w:pStyle w:val="BodyText"/>
      </w:pPr>
      <w:r>
        <w:t xml:space="preserve">На этой неделе на трех площадках (бульвар Дмитрия Донского, вл.9; Нахимовский проспект, вл.51/21; Профсоюзная ул., вл.41) будут представлены, соответственно, Могилевская область, Брянская область и Чувашская Республика.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http://uzao.mos.ru/presscenter/news/detail/1903818.html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903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903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2025-07-18T16:17:37Z</dcterms:created>
  <dcterms:modified xsi:type="dcterms:W3CDTF">2025-07-18T16:17:37Z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