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b0ee40647e63f6f42e8aae4fd54ae84f54b838"/>
    <w:p>
      <w:pPr>
        <w:pStyle w:val="Heading3"/>
      </w:pPr>
      <w:r>
        <w:t xml:space="preserve">О размещении сезонных (летних) кафе при стационарных предприятиях общественного питания 2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hyperlink r:id="rId20">
        <w:r>
          <w:rPr>
            <w:rStyle w:val="Hyperlink"/>
          </w:rPr>
          <w:t xml:space="preserve">О размещении сезонных (летних) кафе при стационарных предприятиях общественного питания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http://uzao.mos.ru/presscenter/news/detail/1903671.html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903671.html" TargetMode="External" /><Relationship Type="http://schemas.openxmlformats.org/officeDocument/2006/relationships/hyperlink" Id="rId20" Target="https://yadi.sk/i/zd_Y3VsKgzqH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903671.html" TargetMode="External" /><Relationship Type="http://schemas.openxmlformats.org/officeDocument/2006/relationships/hyperlink" Id="rId20" Target="https://yadi.sk/i/zd_Y3VsKgzqH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2024-08-26T11:51:30Z</dcterms:created>
  <dcterms:modified xsi:type="dcterms:W3CDTF">2024-08-26T11:51:30Z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