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c56552364ffeb24a26fc26d0bfaa399f00366"/>
    <w:p>
      <w:pPr>
        <w:pStyle w:val="Heading3"/>
      </w:pPr>
      <w:r>
        <w:t xml:space="preserve">На региональных ярмарках в ЮЗАО поменялись компании-продавцы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rPr>
          <w:bCs/>
          <w:b/>
        </w:rPr>
        <w:t xml:space="preserve">Регионы, представленные на площадках специализированных продуктовых ярмарок в столице, в соответствии с утвержденными графиками постоянно меняются. Не являются в этом смысле исключением и региональные ярмарки в ЮЗАО.</w:t>
      </w:r>
    </w:p>
    <w:p>
      <w:pPr>
        <w:pStyle w:val="BodyText"/>
      </w:pPr>
      <w:r>
        <w:t xml:space="preserve">На прошедшей неделе на трех площадках (бульвар Дмитрия Донского, вл.9; Нахимовский проспект, вл.51/21; Профсоюзная ул., вл.41) были представлены, соответственно, город Севастополь, Рязанская область и Минская область.</w:t>
      </w:r>
    </w:p>
    <w:p>
      <w:pPr>
        <w:pStyle w:val="BodyText"/>
      </w:pPr>
      <w:r>
        <w:t xml:space="preserve">На этой неделе на тех же площадках работают сельхозпроизводители Белгородской области, Вологодской области, Витебской области.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http://uzao.mos.ru/presscenter/news/detail/1774059.html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74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74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2024-11-19T01:52:55Z</dcterms:created>
  <dcterms:modified xsi:type="dcterms:W3CDTF">2024-11-19T01:52:55Z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