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2f196d91ea18f910cb760f20238e787bb8416"/>
    <w:p>
      <w:pPr>
        <w:pStyle w:val="Heading3"/>
      </w:pPr>
      <w:r>
        <w:t xml:space="preserve">Правительство Москвы утвердило порядок отбора подрядчиков для капитального ремонта многоквартирных домов</w:t>
      </w:r>
    </w:p>
    <w:p>
      <w:pPr>
        <w:pStyle w:val="FirstParagraph"/>
      </w:pPr>
      <w:r>
        <w:t xml:space="preserve">07.04.2015</w:t>
      </w:r>
    </w:p>
    <w:p>
      <w:pPr>
        <w:pStyle w:val="BodyText"/>
      </w:pPr>
      <w:r>
        <w:rPr>
          <w:bCs/>
          <w:b/>
        </w:rPr>
        <w:t xml:space="preserve">На заседании Президиума Правительства Москвы принято постановление, устанавливающее порядок привлечения городским Фондом капремонта подрядных организаций для оказания услуг по ремонту многоквартирных домов.</w:t>
      </w:r>
    </w:p>
    <w:p>
      <w:pPr>
        <w:pStyle w:val="BodyText"/>
      </w:pPr>
      <w:r>
        <w:drawing>
          <wp:inline>
            <wp:extent cx="3048000" cy="2019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upload/-news-upload/Кескино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Принятый нормативный документ призван обеспечить реальную конкуренцию за право выполнения работ по капитальному ремонту общего имущества жилых домов, а также защитить интересы жителей. Согласно принятому постановлению отбор подрядных организаций будет осуществляться в порядке и на условиях, аналогичных конкурсам поставщиков продукции для государственных нужд.</w:t>
      </w:r>
    </w:p>
    <w:p>
      <w:pPr>
        <w:pStyle w:val="BodyText"/>
      </w:pPr>
      <w:r>
        <w:t xml:space="preserve">Предусмотрена также процедура предварительного отбора фирм-исполнителей работ, которая должна исключить участие в конкурсных процедурах заведомо недобросовестных участников (не имеющих намерения или возможности выполнить взятые на себя обязательства по контракту). В частности, условием допуска является наличие необходимых лицензий, наличие минимальной необходимой численности персонала, опыта выполнения соответствующих работ за последние тригода. Кроме того, у подрядчиков не должно быть налоговой задолженности, либо расторгнутых по причине допущенных ими нарушений контрактов за последние три года.</w:t>
      </w:r>
    </w:p>
    <w:p>
      <w:pPr>
        <w:pStyle w:val="BodyText"/>
      </w:pPr>
      <w:r>
        <w:t xml:space="preserve">Как напомнил в ходе заседания президиума Правительства Москвы гендиректор Фонда капремонта Артур Кескинов, ворзглавляемая им структура была создана в середине марта и за прошедшее с тех пор время на основании предложений совета депутатов муниципальных округов ею был подготовлен досрочный план ремонта на 2015 — 2016 годы. «Это почти две тысячи домов общей площадью 9,2 миллиона квадратных метров. Дополнительно к этому мы будем менять 6,2 тысячи лифтов. И ключевой задачей для фонда является отбор подрядных организаций для выполнения этих работ», — уточнил глава Фонда.</w:t>
      </w:r>
    </w:p>
    <w:p>
      <w:pPr>
        <w:pStyle w:val="BodyText"/>
      </w:pPr>
      <w:r>
        <w:t xml:space="preserve">Что касается отбора подрядных организаций, А. Кескинов подчеркнул, что закрепленная постановлением схема проведения конкурсных процедур позволит городу сформировать пул квалифицированных исполнителей работ, обеспечить реальную конкуренцию между ними и оградить их от демпинга, рейдеров и компаний-однодневок. При этом перечень допущенных к конкурсам организаций планируется дополнять ежеквартально, при этом отобранные организации, по которым выявят факты отклонения от установленных требований, из него исключат. Также было сделано важное уточнение: данные о реализации контрактов разместят на официальном портале городского Департамента по конкурентной политике.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http://uzao.mos.ru/presscenter/news/detail/1723604.html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723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723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2024-03-23T05:20:29Z</dcterms:created>
  <dcterms:modified xsi:type="dcterms:W3CDTF">2024-03-23T05:20:29Z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