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9614973e759033354b7873436dafd927915af"/>
    <w:p>
      <w:pPr>
        <w:pStyle w:val="Heading3"/>
      </w:pPr>
      <w:r>
        <w:t xml:space="preserve">В музыкальной школе им. Гольденвейзера состоялся концерт, посвященный 70-летию Победы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drawing>
          <wp:inline>
            <wp:extent cx="5171354" cy="72998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афиш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354" cy="7299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музыкальной школе им. Гольденвейзера состоялся концерт «Помнит сердце, помним мы…», появященный 70-летию Победы.</w:t>
      </w:r>
    </w:p>
    <w:p>
      <w:pPr>
        <w:pStyle w:val="BodyText"/>
      </w:pPr>
      <w:r>
        <w:t xml:space="preserve">В нем приняли участие воспитанники отделения академического вокала, исполнившие песни военных лет. </w:t>
      </w:r>
    </w:p>
    <w:p>
      <w:pPr>
        <w:pStyle w:val="BodyText"/>
      </w:pPr>
      <w:r>
        <w:t xml:space="preserve">Гостями праздничного вечера стали ветераны, участники Великой Отечественной войны.</w:t>
      </w:r>
      <w:r>
        <w:br/>
      </w: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http://uzao.mos.ru/presscenter/news/detail/1686192.html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86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86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2025-06-01T00:52:36Z</dcterms:created>
  <dcterms:modified xsi:type="dcterms:W3CDTF">2025-06-01T00:52:36Z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