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6bd2b3faf9e0e45b74b821e12eea3c2d48bfe"/>
    <w:p>
      <w:pPr>
        <w:pStyle w:val="Heading3"/>
      </w:pPr>
      <w:r>
        <w:t xml:space="preserve">Новогодние граффити на колоколах для раздельного сбора мусора появились в Воронцовском парке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rPr>
          <w:bCs/>
          <w:b/>
        </w:rPr>
        <w:t xml:space="preserve">Авторами новогодних граффити стали студенты колледжа архитектуры дизайна и реинжиниринга №26,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комплекса городского хозяйства Москвы.</w:t>
      </w:r>
    </w:p>
    <w:p>
      <w:pPr>
        <w:pStyle w:val="BodyText"/>
      </w:pPr>
      <w:r>
        <w:t xml:space="preserve">В столице появились «новогодние колокольчики» для раздельного сбора стекла и пластика. В ЮЗАО их разместили в Воронцовском парке. Всего было оформлено три пары контейнеров. Одна из них покрыта ярким орнаментом со звездами, игрушками, сладостями и снеговиками; другая – снежинками и елочными игрушками; третья – гномами, создающими подарки из переработанного стекла. Также на колоколе изображен символ 2025 года - зеленая змея.</w:t>
      </w:r>
    </w:p>
    <w:p>
      <w:pPr>
        <w:pStyle w:val="BodyText"/>
      </w:pPr>
      <w:r>
        <w:t xml:space="preserve">Отмечается, что желтые и зеленые колокола используются для раздельного сбора стеклянной тары и пластика. Надписи на них подскажут, какой вид вторсырья принимается. В дальнейшем его направят на досортировку, после чего - на переработку.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http://uzao.mos.ru/presscenter/news/detail/12751183.html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1183.html" TargetMode="External" /><Relationship Type="http://schemas.openxmlformats.org/officeDocument/2006/relationships/hyperlink" Id="rId20" Target="https://t.me/kgh_moscow/207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1183.html" TargetMode="External" /><Relationship Type="http://schemas.openxmlformats.org/officeDocument/2006/relationships/hyperlink" Id="rId20" Target="https://t.me/kgh_moscow/207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2025-08-06T14:00:55Z</dcterms:created>
  <dcterms:modified xsi:type="dcterms:W3CDTF">2025-08-06T14:00:55Z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