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64f63ca0c7a148dcc8f4c24238bf3bc9d026d"/>
    <w:p>
      <w:pPr>
        <w:pStyle w:val="Heading3"/>
      </w:pPr>
      <w:r>
        <w:t xml:space="preserve">Теннисный корт и спортзал передал город арендаторам в ЮЗАО</w:t>
      </w:r>
    </w:p>
    <w:p>
      <w:pPr>
        <w:pStyle w:val="FirstParagraph"/>
      </w:pPr>
      <w:r>
        <w:t xml:space="preserve">26.12.2024</w:t>
      </w:r>
    </w:p>
    <w:p>
      <w:pPr>
        <w:pStyle w:val="BodyText"/>
      </w:pPr>
      <w:r>
        <w:rPr>
          <w:bCs/>
          <w:b/>
        </w:rPr>
        <w:t xml:space="preserve">В прошлом и текущем годах столица передала инвесторам в аренду десяток объектов. Это способствует модернизации спортивно-оздоровительной инфраструктуры,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портал mos.ru со ссылкой на руководителя Департамента экономической политики и развития Москвы Марию Багрееву.</w:t>
      </w:r>
    </w:p>
    <w:p>
      <w:pPr>
        <w:pStyle w:val="BodyText"/>
      </w:pPr>
      <w:r>
        <w:t xml:space="preserve">По ее словам, частным операторам необходимо в течение 25 лет использовать помещения по целевому назначению. Кроме того, есть возможность составить список самых актуальных спортивных и физкультурно-оздоровительных услуг, а также запускать платные сервисы.</w:t>
      </w:r>
    </w:p>
    <w:p>
      <w:pPr>
        <w:pStyle w:val="BodyText"/>
      </w:pPr>
      <w:r>
        <w:t xml:space="preserve">В рамках программы в ЮЗАО передали в аренду теннисный корт на ул. Паустовского, д. 4а, а также спортзал на ул. Новочеремушкинской, д. 34, к. 2. Начальная цена лота на торгах определялась, учитывая ставку пять тысяч рублей с НДС в год за один квадратный метр. Размер арендной платы устанавливают по итогам аукционов.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http://uzao.mos.ru/presscenter/news/detail/12741654.html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41654.html" TargetMode="External" /><Relationship Type="http://schemas.openxmlformats.org/officeDocument/2006/relationships/hyperlink" Id="rId20" Target="https://www.mos.ru/news/item/14771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41654.html" TargetMode="External" /><Relationship Type="http://schemas.openxmlformats.org/officeDocument/2006/relationships/hyperlink" Id="rId20" Target="https://www.mos.ru/news/item/14771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2025-02-19T00:23:38Z</dcterms:created>
  <dcterms:modified xsi:type="dcterms:W3CDTF">2025-02-19T00:23:38Z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