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6a88d7b90e1ab20223fa19aade4e11295876e"/>
    <w:p>
      <w:pPr>
        <w:pStyle w:val="Heading3"/>
      </w:pPr>
      <w:r>
        <w:t xml:space="preserve">Выставку «Почетные граждане Москвы» открыли в центрах госуслуг ЮЗАО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14.10.2024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Экспозицию, приуроченную к Году семьи, открыли совместно с Главархивом. Она заработала в рамках проекта «Москва — с заботой об истории»,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mos.ru.</w:t>
      </w:r>
    </w:p>
    <w:p>
      <w:pPr>
        <w:pStyle w:val="BodyText"/>
      </w:pPr>
      <w:r>
        <w:t xml:space="preserve">Жители округа могут увидеть выставку «Почетные граждане Москвы» в центрах госуслуг районов Котловка (Нахимовский проспект, д. 25а), Коньково (ул. Миклухо-Маклая, д. 18, корп. 2) и во флагмане ЮЗАО (Новоясеневский проспект, д. 1). В ее рамках можно будет узнать историю этого звания и сравнить порядок его присвоения в дореволюционное время и в наши дни. Также станет понятен процесс изготовления грамоты, вручаемой вместе с присуждением звания.</w:t>
      </w:r>
    </w:p>
    <w:p>
      <w:pPr>
        <w:pStyle w:val="BodyText"/>
      </w:pPr>
      <w:r>
        <w:t xml:space="preserve">Кроме того, посетители экспозиции узнают истории почетных горожан — Владимира Долгорукова, Павла Третьякова, Галины Улановой и других. А еще запланированы викторины, знакомство с памятниками архитектуры и обзор изменений, произошедших в Москве при князе Владимире Долгоруком.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http://uzao.mos.ru/presscenter/news/detail/12611100.html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1100.html" TargetMode="External" /><Relationship Type="http://schemas.openxmlformats.org/officeDocument/2006/relationships/hyperlink" Id="rId20" Target="https://www.mos.ru/news/item/14511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1100.html" TargetMode="External" /><Relationship Type="http://schemas.openxmlformats.org/officeDocument/2006/relationships/hyperlink" Id="rId20" Target="https://www.mos.ru/news/item/14511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2025-06-14T11:49:54Z</dcterms:created>
  <dcterms:modified xsi:type="dcterms:W3CDTF">2025-06-14T11:49:54Z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