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7162c51c8b65b80457aa7189d1223f314819a"/>
    <w:p>
      <w:pPr>
        <w:pStyle w:val="Heading3"/>
      </w:pPr>
      <w:r>
        <w:t xml:space="preserve">На строящейся станции «Академическая» продолжаются монолитные и земляные работы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15.08.2024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Готовность монолитных конструкций станционного комплекса оценивается на треть. Строители уложили более 14 тысяч кубометров бетона,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градостроительной политики и строительства Владимира Ефимова.</w:t>
      </w:r>
    </w:p>
    <w:p>
      <w:pPr>
        <w:pStyle w:val="BodyText"/>
      </w:pPr>
      <w:r>
        <w:t xml:space="preserve">На будущей Троицкой линии на территории ЮЗАО ведется строительство станций «Академическая», «Вавиловская», «Новаторская», «Университет дружбы народов» и «Генерала Тюленева». В частности, на «Академической» продолжаются земляные и монолитные работы. Ее оформление будет отсылать к истории науки и культуры.</w:t>
      </w:r>
    </w:p>
    <w:p>
      <w:pPr>
        <w:pStyle w:val="BodyText"/>
      </w:pPr>
      <w:r>
        <w:t xml:space="preserve">Здесь специалисты разработали уже более 170 тысяч кубометров грунта, а также завершают переустройство инженерных сетей. Кроме того, проводятся работы на водоотливной установке и в вентиляционной шахте. Эти притоннельные сооружения расположены между «Академической» и «Вавиловской».</w:t>
      </w:r>
    </w:p>
    <w:p>
      <w:pPr>
        <w:pStyle w:val="BodyText"/>
      </w:pPr>
      <w:r>
        <w:t xml:space="preserve">Как добавил председатель столичного Комитета государственного строительного надзора Антон Слободчиков, инспекторы контролируют все этапы сооружения подземных объектов. В общей сложности за период строительства участка Троицкой линии прошло девять проверок. В рамках строительства станции «Академическая» будет создана пересадка между Троицкой и Калужско-Рижской линиями метро. Это позволит сократить путь до центра города.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http://uzao.mos.ru/presscenter/news/detail/12520351.html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20351.html" TargetMode="External" /><Relationship Type="http://schemas.openxmlformats.org/officeDocument/2006/relationships/hyperlink" Id="rId20" Target="https://www.mos.ru/news/item/14253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20351.html" TargetMode="External" /><Relationship Type="http://schemas.openxmlformats.org/officeDocument/2006/relationships/hyperlink" Id="rId20" Target="https://www.mos.ru/news/item/14253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2025-07-24T16:44:10Z</dcterms:created>
  <dcterms:modified xsi:type="dcterms:W3CDTF">2025-07-24T16:44:10Z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