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86dc798bdd6484190757b419ec5e0a3c529ef"/>
    <w:p>
      <w:pPr>
        <w:pStyle w:val="Heading3"/>
      </w:pPr>
      <w:r>
        <w:t xml:space="preserve">По 600 тысяч рублей будут получать трехсотбалльники за первый год обучения в РУДН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rPr>
          <w:bCs/>
          <w:b/>
        </w:rPr>
        <w:t xml:space="preserve">Такую сумму студент получит по окончании первого курса в качестве меры поощрения за высокие результаты ЕГЭ,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Российского университета дружбы народов.</w:t>
      </w:r>
    </w:p>
    <w:p>
      <w:pPr>
        <w:pStyle w:val="BodyText"/>
      </w:pPr>
      <w:r>
        <w:t xml:space="preserve">В рамках программы «Лига стипендий» для поступающих в 2024–2025 году высокобалльников и олимпиадников введут специальную стипендию. Ее размер составит 300 тысяч рублей. Получить стипендию смогут те абитуриенты, которые наберут 300 баллов после сдачи трех предметов ЕГЭ.</w:t>
      </w:r>
    </w:p>
    <w:p>
      <w:pPr>
        <w:pStyle w:val="BodyText"/>
      </w:pPr>
      <w:r>
        <w:t xml:space="preserve">Таким образом, они будут получать одновременно две стипендии. Размер основной ежемесячно составит 25 тысяч рублей. Такая же сумма – у дополнительной стипендии, которую выплатят ежемесячно в течение первого года обучения. Отмечается, что подобная система поощрения будет действовать при условии учебы на «отлично» по гуманитарным направлениям и на «отлично» или «хорошо» по естественно-научным направлениям.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http://uzao.mos.ru/presscenter/news/detail/12372737.html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72737.html" TargetMode="External" /><Relationship Type="http://schemas.openxmlformats.org/officeDocument/2006/relationships/hyperlink" Id="rId20" Target="https://admission.rudn.ru/events/600-000-rubley-za-300-ballov-ege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72737.html" TargetMode="External" /><Relationship Type="http://schemas.openxmlformats.org/officeDocument/2006/relationships/hyperlink" Id="rId20" Target="https://admission.rudn.ru/events/600-000-rubley-za-300-ballov-ege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2025-07-05T17:45:08Z</dcterms:created>
  <dcterms:modified xsi:type="dcterms:W3CDTF">2025-07-05T17:45:08Z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