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f090f589d4a3cf4f4656ccb82a4e5aaf07a3d"/>
    <w:p>
      <w:pPr>
        <w:pStyle w:val="Heading3"/>
      </w:pPr>
      <w:r>
        <w:t xml:space="preserve">В Южном Бутове арендаторам территорий одобрили размещение некапитальных объектов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27.04.2024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Разрешения на установку около 150 некапитальных объектов благоустройства выдал город в первом квартале текущего года.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 со ссылкой на руководителя столичного Департамента городского имущества Максима Гамана.</w:t>
      </w:r>
    </w:p>
    <w:p>
      <w:pPr>
        <w:pStyle w:val="BodyText"/>
      </w:pPr>
      <w:r>
        <w:t xml:space="preserve">Среди них - пергола, беседка, фонтан, некапитальные спортивные сооружения, навесы и ограждения. Такие элементы разрешили установить арендаторам территорий в Южном Бутове, а также в других районах Москвы.</w:t>
      </w:r>
    </w:p>
    <w:p>
      <w:pPr>
        <w:pStyle w:val="BodyText"/>
      </w:pPr>
      <w:r>
        <w:t xml:space="preserve">Заявки на монтаж подобных сооружений разбирает специализированная межведомственная комиссия. После их согласования с арендаторами подписывают соглашения к договорам аренды локаций.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http://uzao.mos.ru/presscenter/news/detail/12347403.html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47403.html" TargetMode="External" /><Relationship Type="http://schemas.openxmlformats.org/officeDocument/2006/relationships/hyperlink" Id="rId20" Target="https://www.mos.ru/news/item/13811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47403.html" TargetMode="External" /><Relationship Type="http://schemas.openxmlformats.org/officeDocument/2006/relationships/hyperlink" Id="rId20" Target="https://www.mos.ru/news/item/13811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2025-07-05T18:16:26Z</dcterms:created>
  <dcterms:modified xsi:type="dcterms:W3CDTF">2025-07-05T18:16:26Z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