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fb63cba4c24c07732b4ccf2fb154e030a2537"/>
    <w:p>
      <w:pPr>
        <w:pStyle w:val="Heading3"/>
      </w:pPr>
      <w:r>
        <w:t xml:space="preserve">Более 36 гектаров земли реорганизуют на юго-западе столицы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rPr>
          <w:bCs/>
          <w:b/>
        </w:rPr>
        <w:t xml:space="preserve">Редевелопмент неэффективно используемых участков и бывших промзон организуют по программе комплексного развития территорий. Реорганизацией площадок, общая площадь которых превышает 36 га, займутся назначенные городом операторы.</w:t>
      </w:r>
    </w:p>
    <w:p>
      <w:pPr>
        <w:pStyle w:val="BodyText"/>
      </w:pPr>
      <w:r>
        <w:t xml:space="preserve">В ЮЗАО планируется реализовать восемь проектов,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портале mos.ru со ссылкой на заммэра столицы по вопросам экономической политики и имущественно-земельных отношений Владимира Ефимова. Так, новые кварталы создадут в районах Зюзино, Коньково, Котловка, Черемушки и Обручевский. При этом будет построено около 862 тысяч «квадратов» недвижимости.</w:t>
      </w:r>
    </w:p>
    <w:p>
      <w:pPr>
        <w:pStyle w:val="BodyText"/>
      </w:pPr>
      <w:r>
        <w:t xml:space="preserve">На воплощение проектов будет направлено 300 миллиардов рублей, а ежегодные поступления в бюджет города составят шесть миллиардов рублей. Всего будет создано почти три тысячи точек приложения труда.</w:t>
      </w:r>
    </w:p>
    <w:p>
      <w:pPr>
        <w:pStyle w:val="BodyText"/>
      </w:pPr>
      <w:r>
        <w:t xml:space="preserve">Как отметил руководитель столичного Департамента городского имущества Максим Гаман, операторы возведут свыше 768 тысяч «квадратов» жилья, в том числе по программе реновации, а также более 93 тысяч «квадратов» общественно-деловой застройки. Кроме того, планируется построить ФОК с комплексом для скалолазания, четыре детсада и пару школ. В новое жилье по программе реновации смогут переселиться почти 150 человек.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http://uzao.mos.ru/presscenter/news/detail/12289832.html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89832.html" TargetMode="External" /><Relationship Type="http://schemas.openxmlformats.org/officeDocument/2006/relationships/hyperlink" Id="rId20" Target="https://www.mos.ru/news/item/13709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89832.html" TargetMode="External" /><Relationship Type="http://schemas.openxmlformats.org/officeDocument/2006/relationships/hyperlink" Id="rId20" Target="https://www.mos.ru/news/item/13709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2025-07-24T05:04:18Z</dcterms:created>
  <dcterms:modified xsi:type="dcterms:W3CDTF">2025-07-24T05:04:18Z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