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6f823a30ce50eccb6536f97234db7814f60ff"/>
    <w:p>
      <w:pPr>
        <w:pStyle w:val="Heading3"/>
      </w:pPr>
      <w:r>
        <w:t xml:space="preserve">Более 570 тысяч квадратов «недвижимости» ввели в ЮЗАО за год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rPr>
          <w:bCs/>
          <w:b/>
        </w:rPr>
        <w:t xml:space="preserve">Объем недвижимости, сданной в округе в 2023 году, увеличился с 283 до 572 тысяч «квадратов». Об этом порталу mos.ru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сообщил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председатель Мосгосстройнадзора Антон Слободчиков.</w:t>
      </w:r>
    </w:p>
    <w:p>
      <w:pPr>
        <w:pStyle w:val="BodyText"/>
      </w:pPr>
      <w:r>
        <w:t xml:space="preserve">По его словам, за год в ЮЗАО ввели в эксплуатацию 26 объектов, включая 11 жилых домов. Площадь квартир в них превысила 230 «квадратов». При этом девять многоэтажек построили по программе реновации.</w:t>
      </w:r>
    </w:p>
    <w:p>
      <w:pPr>
        <w:pStyle w:val="BodyText"/>
      </w:pPr>
      <w:r>
        <w:t xml:space="preserve">Уточняется, что в минувшем году на территории столичного юго-запада соорудили ряд важных объектов: подстанцию скорой медицинской помощи в Южном Бутове, центр женского здоровья и неонатальное отделение в составе больницы № 31 на ул. Новаторов, спорткомплекс «Качаловский» и ледовый дворец в Ясеневе. В текущем году планируется возвести детсад и школу, которые войдут в состав жилого комплекса в Южном Бутове. Кроме того, на ул. Грина продолжается строительство культурно-досугового центра с концертным залом.</w:t>
      </w:r>
    </w:p>
    <w:p>
      <w:pPr>
        <w:pStyle w:val="BodyText"/>
      </w:pPr>
      <w:r>
        <w:t xml:space="preserve">На контроле управления Комитета по ЮЗАО в 2023 году находилось 87 объектов капитального строительства. Специалисты провели свыше двух сотен проверок. По их итогам были оформлены протоколы о нарушениях в строительной сфере и предписания.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http://uzao.mos.ru/presscenter/news/detail/12158261.html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58261.html" TargetMode="External" /><Relationship Type="http://schemas.openxmlformats.org/officeDocument/2006/relationships/hyperlink" Id="rId20" Target="https://www.mos.ru/news/item/13516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58261.html" TargetMode="External" /><Relationship Type="http://schemas.openxmlformats.org/officeDocument/2006/relationships/hyperlink" Id="rId20" Target="https://www.mos.ru/news/item/13516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2025-07-05T23:33:10Z</dcterms:created>
  <dcterms:modified xsi:type="dcterms:W3CDTF">2025-07-05T23:33:10Z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