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638c0e2c2bb016531b89d16c832558347902c"/>
    <w:p>
      <w:pPr>
        <w:pStyle w:val="Heading3"/>
      </w:pPr>
      <w:r>
        <w:t xml:space="preserve">На ул. Поляны построят объект транспортного обслуживания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rPr>
          <w:bCs/>
          <w:b/>
        </w:rPr>
        <w:t xml:space="preserve">Его возведет инвестор, с которым был заключен договор по итогам аукциона.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Объект транспортного обслуживания появится на территории площадью 0,13 гектара на ул. Поляны. На его строительство отводится два года и шесть месяцев, а разрешение на проведение работ необходимо получить в течение года.</w:t>
      </w:r>
    </w:p>
    <w:p>
      <w:pPr>
        <w:pStyle w:val="BodyText"/>
      </w:pPr>
      <w:r>
        <w:t xml:space="preserve">Площадь здания составит около 964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http://uzao.mos.ru/presscenter/news/detail/12050938.html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50938.html" TargetMode="External" /><Relationship Type="http://schemas.openxmlformats.org/officeDocument/2006/relationships/hyperlink" Id="rId20" Target="https://www.mos.ru/news/item/1333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50938.html" TargetMode="External" /><Relationship Type="http://schemas.openxmlformats.org/officeDocument/2006/relationships/hyperlink" Id="rId20" Target="https://www.mos.ru/news/item/1333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2023-12-23T16:12:48Z</dcterms:created>
  <dcterms:modified xsi:type="dcterms:W3CDTF">2023-12-23T16:12:48Z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