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e28abc7a48f634f9aa4e12ef69bb0201eaa381"/>
    <w:p>
      <w:pPr>
        <w:pStyle w:val="Heading3"/>
      </w:pPr>
      <w:r>
        <w:t xml:space="preserve">10 помещений выкупили в третьем квартале года предприниматели из ЮЗАО</w:t>
      </w:r>
    </w:p>
    <w:p>
      <w:pPr>
        <w:pStyle w:val="FirstParagraph"/>
      </w:pPr>
      <w:r>
        <w:t xml:space="preserve">27.10.2023</w:t>
      </w:r>
    </w:p>
    <w:p>
      <w:pPr>
        <w:pStyle w:val="BodyText"/>
      </w:pPr>
      <w:r>
        <w:t xml:space="preserve">27.10.2023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Представители малого и среднего бизнеса могли выкупить объекты, находившиеся в аренде не менее двух лет. При этом реализованные на аукционах помещения должны числиться в специальном перечне,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 со ссылкой на руководителя Департамента городского имущества Максима Гамана.</w:t>
      </w:r>
    </w:p>
    <w:p>
      <w:pPr>
        <w:pStyle w:val="BodyText"/>
      </w:pPr>
      <w:r>
        <w:t xml:space="preserve">По его словам, с июля по сентябрь текущего года предприниматели выкупили у столицы десяток помещений на территории столичного юго-запада. Торги при этом не проводились, так как бизнесмены воспользовались преимущественным правом.</w:t>
      </w:r>
    </w:p>
    <w:p>
      <w:pPr>
        <w:pStyle w:val="BodyText"/>
      </w:pPr>
      <w:r>
        <w:t xml:space="preserve">Уточняется, что на сегодняшний день в</w:t>
      </w:r>
      <w:r>
        <w:t xml:space="preserve"> </w:t>
      </w:r>
      <w:hyperlink r:id="rId21">
        <w:r>
          <w:rPr>
            <w:rStyle w:val="Hyperlink"/>
          </w:rPr>
          <w:t xml:space="preserve">перечне</w:t>
        </w:r>
      </w:hyperlink>
      <w:r>
        <w:t xml:space="preserve"> </w:t>
      </w:r>
      <w:r>
        <w:t xml:space="preserve">объектов, предназначенных для использования малым и средним бизнесом, насчитывается свыше 1,6 тысячи нежилых объектов. Их можно выкупить, обратившись за госуслугой в Департамент городского имущества.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http://uzao.mos.ru/presscenter/news/detail/11938915.html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938915.html" TargetMode="External" /><Relationship Type="http://schemas.openxmlformats.org/officeDocument/2006/relationships/hyperlink" Id="rId21" Target="https://www.mos.ru/dgi/documents/perechen-gosudarstvennogo-imushchestva-prednaz%20nachennogo-dlia-peredachi-vo-vladenie-iili-v-polzovanie/view/179415220/https://www.mos.ru/dgi/documents/perechen-gosudarstvennogo-imushchestva-prednaz%20nachennogo-dlia-peredachi-vo-vladenie-iili-v-polzovanie/view/179415220/" TargetMode="External" /><Relationship Type="http://schemas.openxmlformats.org/officeDocument/2006/relationships/hyperlink" Id="rId20" Target="https://www.mos.ru/news/item/13142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938915.html" TargetMode="External" /><Relationship Type="http://schemas.openxmlformats.org/officeDocument/2006/relationships/hyperlink" Id="rId21" Target="https://www.mos.ru/dgi/documents/perechen-gosudarstvennogo-imushchestva-prednaz%20nachennogo-dlia-peredachi-vo-vladenie-iili-v-polzovanie/view/179415220/https://www.mos.ru/dgi/documents/perechen-gosudarstvennogo-imushchestva-prednaz%20nachennogo-dlia-peredachi-vo-vladenie-iili-v-polzovanie/view/179415220/" TargetMode="External" /><Relationship Type="http://schemas.openxmlformats.org/officeDocument/2006/relationships/hyperlink" Id="rId20" Target="https://www.mos.ru/news/item/13142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2024-12-27T23:50:24Z</dcterms:created>
  <dcterms:modified xsi:type="dcterms:W3CDTF">2024-12-27T23:50:24Z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