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aae858f9da085883b46fbb36281dae0b4a013"/>
    <w:p>
      <w:pPr>
        <w:pStyle w:val="Heading3"/>
      </w:pPr>
      <w:r>
        <w:t xml:space="preserve">Под заселение по программе реновации в ЮЗАО передали 28 домов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bCs/>
          <w:b/>
        </w:rPr>
        <w:t xml:space="preserve">В столице сдана в эксплуатацию 201 новостройка по реновации.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Комплекса градостроительной политики и строительства Москвы.</w:t>
      </w:r>
    </w:p>
    <w:p>
      <w:pPr>
        <w:pStyle w:val="BodyText"/>
      </w:pPr>
      <w:r>
        <w:t xml:space="preserve">«Объем этого жилья позволил начать переселение участников реновации в 80 районах столицы, во всех административных округах. В лидерах Северо-Восточный округ – 30 новостроек, Юго-Восточный – 29 и Юго-Западный – 28», – сказал руководитель Департамента градостроительной политики Москвы Сергей Левкин.</w:t>
      </w:r>
    </w:p>
    <w:p>
      <w:pPr>
        <w:pStyle w:val="BodyText"/>
      </w:pPr>
      <w:r>
        <w:t xml:space="preserve">По его словам, с начала реализации программы начало переезда удалось обеспечить 96,4 тыс. человек из 568 старых жилых домов. Новоселье отметили уже около 79 тыс. из них.</w:t>
      </w:r>
    </w:p>
    <w:p>
      <w:pPr>
        <w:pStyle w:val="BodyText"/>
      </w:pPr>
      <w:r>
        <w:t xml:space="preserve">Ранее сообщалось, что в Северном Бутове расселили дома первого этапа реновации.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http://uzao.mos.ru/presscenter/news/detail/11202048.html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202048.html" TargetMode="External" /><Relationship Type="http://schemas.openxmlformats.org/officeDocument/2006/relationships/hyperlink" Id="rId20" Target="https://stroi.mos.ru/news/pieriesielieniie-zhitieliei-po-rienovatsii-obiespiechieno-v-80-raionakh-moskv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202048.html" TargetMode="External" /><Relationship Type="http://schemas.openxmlformats.org/officeDocument/2006/relationships/hyperlink" Id="rId20" Target="https://stroi.mos.ru/news/pieriesielieniie-zhitieliei-po-rienovatsii-obiespiechieno-v-80-raionakh-moskv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2025-05-26T04:05:57Z</dcterms:created>
  <dcterms:modified xsi:type="dcterms:W3CDTF">2025-05-26T04:05:57Z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