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fadad9959c868bb36e5626c6b480c50704fdf2"/>
    <w:p>
      <w:pPr>
        <w:pStyle w:val="Heading3"/>
      </w:pPr>
      <w:r>
        <w:t xml:space="preserve">Функционал многоуровневого паркинга расширят на улице Брусилова</w:t>
      </w:r>
    </w:p>
    <w:p>
      <w:pPr>
        <w:pStyle w:val="FirstParagraph"/>
      </w:pPr>
      <w:r>
        <w:t xml:space="preserve">06.04.2022</w:t>
      </w:r>
    </w:p>
    <w:p>
      <w:pPr>
        <w:pStyle w:val="BodyText"/>
      </w:pPr>
      <w:r>
        <w:rPr>
          <w:bCs/>
          <w:b/>
        </w:rPr>
        <w:t xml:space="preserve">Сейчас на участке площадью 0,6 гектаров расположено здание «народного» гаража, который не используется. Площадь объекта превышает 16 тысяч квадратных метров.</w:t>
      </w:r>
    </w:p>
    <w:p>
      <w:pPr>
        <w:pStyle w:val="BodyText"/>
      </w:pPr>
      <w:r>
        <w:t xml:space="preserve">Как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официальном сайте Мэра Москвы, 31 марта Градостроительно-земельная комиссия столицы приняла решение внести изменения в правила землепользования и застройки в отношении территории по адресу: улица Брусилова, владение 39. По словам председателя Москомстройинвеста Анастасии Пятовой, результаты внесения изменений позволят выставить на торги земельный участок с паркингом для дальнейшей эксплуатации.</w:t>
      </w:r>
    </w:p>
    <w:p>
      <w:pPr>
        <w:pStyle w:val="BodyText"/>
      </w:pPr>
      <w:r>
        <w:t xml:space="preserve">«Помимо парковочных машиномест в здании смогут разместиться автосервис, автомойка, магазины сопутствующих товаров, объекты бытового обслуживания», – пояснила ответственный секретарь Градостроительно-земельной комиссии.</w:t>
      </w:r>
    </w:p>
    <w:p>
      <w:pPr>
        <w:pStyle w:val="BodyText"/>
      </w:pPr>
      <w:r>
        <w:t xml:space="preserve">Ранее сообщалось, что «народный» гараж в Южном Бутове</w:t>
      </w:r>
      <w:r>
        <w:t xml:space="preserve"> </w:t>
      </w:r>
      <w:hyperlink r:id="rId21">
        <w:r>
          <w:rPr>
            <w:rStyle w:val="Hyperlink"/>
          </w:rPr>
          <w:t xml:space="preserve">выставят</w:t>
        </w:r>
      </w:hyperlink>
      <w:r>
        <w:t xml:space="preserve"> </w:t>
      </w:r>
      <w:r>
        <w:t xml:space="preserve">на торги. Площадь объекта составляет около 16 170 квадратных метров. Он расположен напротив микрорайона 4 в Чечерском проезде.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http://uzao.mos.ru/presscenter/news/detail/10733372.html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0733372.html" TargetMode="External" /><Relationship Type="http://schemas.openxmlformats.org/officeDocument/2006/relationships/hyperlink" Id="rId21" Target="https://uzao.aif.ru/news/narodnyi-garaz-v-yuznom-butove-vystavyat-na-torgi" TargetMode="External" /><Relationship Type="http://schemas.openxmlformats.org/officeDocument/2006/relationships/hyperlink" Id="rId20" Target="https://www.mos.ru/news/item/104776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0733372.html" TargetMode="External" /><Relationship Type="http://schemas.openxmlformats.org/officeDocument/2006/relationships/hyperlink" Id="rId21" Target="https://uzao.aif.ru/news/narodnyi-garaz-v-yuznom-butove-vystavyat-na-torgi" TargetMode="External" /><Relationship Type="http://schemas.openxmlformats.org/officeDocument/2006/relationships/hyperlink" Id="rId20" Target="https://www.mos.ru/news/item/104776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2025-05-24T15:17:17Z</dcterms:created>
  <dcterms:modified xsi:type="dcterms:W3CDTF">2025-05-24T15:17:17Z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