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e0fb7fc9d05229c7884d8fffcb031d65bc362"/>
    <w:p>
      <w:pPr>
        <w:pStyle w:val="Heading3"/>
      </w:pPr>
      <w:r>
        <w:t xml:space="preserve">71 проект капремонта жилых домов одобрила Мосгосэкспертиза на юго-западе Москвы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rPr>
          <w:bCs/>
          <w:b/>
        </w:rPr>
        <w:t xml:space="preserve">Региональная программа капитального ремонта включает обновление конструкций, внешнюю и внутреннюю отделку, замену коммуникаций и другие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Москомэкспертизы, с 1 января по 14 ноября в Москве было выдано 924 положительных заключения на капремонт жилых домов. На юго-западе столицы одобрен 71 проект.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 состоянию на 14 ноября Мосгосэкспертизой было одобрено 924 проекта. Положительные заключения для проектов капитального ремонта многоквартирных домов относятся к 12 московским округам", - говорится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http://uzao.mos.ru/presscenter/news/detail/10404430.html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404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404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2025-06-08T12:14:58Z</dcterms:created>
  <dcterms:modified xsi:type="dcterms:W3CDTF">2025-06-08T12:14:58Z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