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ая-идентичность-районов"/>
    <w:p>
      <w:pPr>
        <w:pStyle w:val="Heading3"/>
      </w:pPr>
      <w:r>
        <w:t xml:space="preserve">Новая идентичность районов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Новая идентичность районов. Что это такое?</w:t>
      </w:r>
      <w:r>
        <w:br/>
      </w:r>
      <w:r>
        <w:t xml:space="preserve">Уникальные арт-объекты помогают районам Москвы обрести индивидуальность и радовать жителей.</w:t>
      </w:r>
      <w:r>
        <w:br/>
      </w:r>
      <w:r>
        <w:t xml:space="preserve">Давайте посмотрим, как изменились районы за последние годы и какие необычные арт-объектов в них появились.</w:t>
      </w:r>
      <w:r>
        <w:br/>
      </w:r>
      <w:r>
        <w:t xml:space="preserve">Автор видео: @moy_raion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http://uzao.mos.ru/presscenter/mediagallery/131972/8949887/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972/89498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972/89498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2025-07-10T08:06:40Z</dcterms:created>
  <dcterms:modified xsi:type="dcterms:W3CDTF">2025-07-10T08:06:40Z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