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гбу-сдц-лабиринт--3"/>
    <w:p>
      <w:pPr>
        <w:pStyle w:val="Heading3"/>
      </w:pPr>
      <w:r>
        <w:t xml:space="preserve">ГБУ СДЦ «Лабиринт» -3</w:t>
      </w:r>
    </w:p>
    <w:p>
      <w:pPr>
        <w:pStyle w:val="FirstParagraph"/>
      </w:pPr>
      <w:r>
        <w:t xml:space="preserve">01.01.1970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http://uzao.mos.ru/presscenter/mediagallery/131445/8882983/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Префектура Юго-Западного административного округа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uzao.mos.ru" TargetMode="External" /><Relationship Type="http://schemas.openxmlformats.org/officeDocument/2006/relationships/hyperlink" Id="rId20" Target="http://uzao.mos.ru/presscenter/mediagallery/131445/8882983/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uzao.mos.ru" TargetMode="External" /><Relationship Type="http://schemas.openxmlformats.org/officeDocument/2006/relationships/hyperlink" Id="rId20" Target="http://uzao.mos.ru/presscenter/mediagallery/131445/8882983/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2025-07-26T09:03:52Z</dcterms:created>
  <dcterms:modified xsi:type="dcterms:W3CDTF">2025-07-26T09:03:52Z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