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f40e7a913771fbd33bd3ec8a62ec0e30189ede"/>
    <w:p>
      <w:pPr>
        <w:pStyle w:val="Heading3"/>
      </w:pPr>
      <w:r>
        <w:t xml:space="preserve">Прокурор Юго-Западного округа разъясняет - февраль 2025</w:t>
      </w:r>
    </w:p>
    <w:p>
      <w:pPr>
        <w:pStyle w:val="FirstParagraph"/>
      </w:pPr>
      <w:r>
        <w:t xml:space="preserve">20.02.2025</w:t>
      </w:r>
    </w:p>
    <w:p>
      <w:pPr>
        <w:pStyle w:val="BodyText"/>
      </w:pPr>
      <w:r>
        <w:rPr>
          <w:bCs/>
          <w:b/>
        </w:rPr>
        <w:t xml:space="preserve">1.</w:t>
      </w:r>
      <w:r>
        <w:t xml:space="preserve">Федеральным законом от 26.12.2024 № 497-ФЗ внесены изменения в Федеральный закон «Об отходах производства и потребления» и Федеральный закон «Об охране окружающей среды» в части установления особенностей регулирования обращения с твердыми коммунальными отходами на труднодоступных территориях.</w:t>
      </w:r>
    </w:p>
    <w:p>
      <w:pPr>
        <w:pStyle w:val="BodyText"/>
      </w:pPr>
      <w:r>
        <w:t xml:space="preserve">В соответствии с внесенными изменениями, труднодоступная территория - территория, которая расположена в границах одного или нескольких муниципальных образований либо части муниципального образования и из которой в связи с географическими, природно-климатическими особенностями отсутствует возможность круглогодичного регулярного (не реже одного раза в месяц) транспортирования твердых коммунальных отходов автомобильным транспортом за пределы такой территории.</w:t>
      </w:r>
    </w:p>
    <w:p>
      <w:pPr>
        <w:pStyle w:val="BodyText"/>
      </w:pPr>
      <w:r>
        <w:t xml:space="preserve">Перечень таких труднодоступных территорий определяется субъектами Российской Федерации в составе территориальных схем обращения с отходами при условии, что указанный перечень согласован с российским экологическим оператором и федеральным органом исполнительной власти, осуществляющим государственный экологический контроль (надзор).</w:t>
      </w:r>
    </w:p>
    <w:p>
      <w:pPr>
        <w:pStyle w:val="BodyText"/>
      </w:pPr>
      <w:r>
        <w:t xml:space="preserve">Указанные изменения вступили в законную силу с 01.01.2025.</w:t>
      </w:r>
    </w:p>
    <w:p>
      <w:pPr>
        <w:pStyle w:val="BodyText"/>
      </w:pPr>
      <w:r>
        <w:rPr>
          <w:bCs/>
          <w:b/>
        </w:rPr>
        <w:t xml:space="preserve">2.</w:t>
      </w:r>
      <w:r>
        <w:t xml:space="preserve"> </w:t>
      </w:r>
      <w:r>
        <w:t xml:space="preserve">Согласно Федеральному закону от 26.12.2024 № 490-ФЗ «О внесении изменений в Кодекс Российской Федерации об административных правонарушениях» ужесточается административная ответственность за:</w:t>
      </w:r>
    </w:p>
    <w:p>
      <w:pPr>
        <w:pStyle w:val="BodyText"/>
      </w:pPr>
      <w:r>
        <w:t xml:space="preserve">- нарушение правил применения ремней безопасности или мотошлемов;</w:t>
      </w:r>
    </w:p>
    <w:p>
      <w:pPr>
        <w:pStyle w:val="BodyText"/>
      </w:pPr>
      <w:r>
        <w:t xml:space="preserve">- управление транспортным средством водителем, находящимся в состоянии опьянения, передачу управления транспортным средством лицу, находящемуся в состоянии опьянения;</w:t>
      </w:r>
    </w:p>
    <w:p>
      <w:pPr>
        <w:pStyle w:val="BodyText"/>
      </w:pPr>
      <w:r>
        <w:t xml:space="preserve">- превышение установленной скорости движения;</w:t>
      </w:r>
    </w:p>
    <w:p>
      <w:pPr>
        <w:pStyle w:val="BodyText"/>
      </w:pPr>
      <w:r>
        <w:t xml:space="preserve">- проезд на запрещающий сигнал светофора или на запрещающий жест регулировщика;</w:t>
      </w:r>
    </w:p>
    <w:p>
      <w:pPr>
        <w:pStyle w:val="BodyText"/>
      </w:pPr>
      <w:r>
        <w:t xml:space="preserve">- нарушение правил расположения транспортного средства на проезжей части дороги, встречного разъезда или обгона;</w:t>
      </w:r>
    </w:p>
    <w:p>
      <w:pPr>
        <w:pStyle w:val="BodyText"/>
      </w:pPr>
      <w:r>
        <w:t xml:space="preserve">- несоблюдение требований, предписанных дорожными знаками или разметкой проезжей части дороги;</w:t>
      </w:r>
    </w:p>
    <w:p>
      <w:pPr>
        <w:pStyle w:val="BodyText"/>
      </w:pPr>
      <w:r>
        <w:t xml:space="preserve">- непредоставление преимущества в движении маршрутному 2 транспортному средству или транспортному средству с включенными специальными световыми и звуковыми сигналами;</w:t>
      </w:r>
    </w:p>
    <w:p>
      <w:pPr>
        <w:pStyle w:val="BodyText"/>
      </w:pPr>
      <w:r>
        <w:t xml:space="preserve">- нарушение правил движения тяжеловесного и (или) крупногабаритного транспортного средства;</w:t>
      </w:r>
    </w:p>
    <w:p>
      <w:pPr>
        <w:pStyle w:val="BodyText"/>
      </w:pPr>
      <w:r>
        <w:t xml:space="preserve">- невыполнение водителем требования о прохождении медицинского освидетельствования на состояние опьянения.</w:t>
      </w:r>
    </w:p>
    <w:p>
      <w:pPr>
        <w:pStyle w:val="BodyText"/>
      </w:pPr>
      <w:r>
        <w:t xml:space="preserve">Кроме того, с 20 до 30 дней увеличивается срок, в течение которого лицо, привлеченное к административной ответственности за ряд нарушений ПДД, может уплатить штраф со скидкой, однако при этом размер скидки уменьшен с 50 процентов до 25 процентов.</w:t>
      </w:r>
    </w:p>
    <w:p>
      <w:pPr>
        <w:pStyle w:val="BodyText"/>
      </w:pPr>
      <w:r>
        <w:t xml:space="preserve">Предусматривается, что указанные изменения в порядок уплаты административного штрафа не распространяются на правоотношения, связанные с исполнением постановлений по делам об административных правонарушениях, совершенных до дня вступления в силу настоящего Федерального закона.</w:t>
      </w:r>
    </w:p>
    <w:p>
      <w:pPr>
        <w:pStyle w:val="BodyText"/>
      </w:pPr>
      <w:r>
        <w:t xml:space="preserve">Указанные изменения вступили в законную силу с 01.01.2025.</w:t>
      </w:r>
    </w:p>
    <w:p>
      <w:pPr>
        <w:pStyle w:val="BodyText"/>
      </w:pPr>
      <w:r>
        <w:rPr>
          <w:bCs/>
          <w:b/>
        </w:rPr>
        <w:t xml:space="preserve">3.</w:t>
      </w:r>
      <w:r>
        <w:t xml:space="preserve"> </w:t>
      </w:r>
      <w:r>
        <w:t xml:space="preserve">Федеральным законом от 28.12.2024 № 547-ФЗ внесены изменения в Федеральный закон «О порядке рассмотрения обращений граждан Российской Федерации».</w:t>
      </w:r>
    </w:p>
    <w:p>
      <w:pPr>
        <w:pStyle w:val="BodyText"/>
      </w:pPr>
      <w:r>
        <w:t xml:space="preserve">Согласно нововведениям, граждане могут направлять обращения в государственные органы, органы местного самоуправления или должностным лицам в форме электронного документа с использованием Единого портала государственных и муниципальных услуг (функций), иных информационных систем либо официальных сайтов государственных органов или органов местного самоуправления в сети Интернет, обеспечивающих идентификацию и (или) аутентификацию граждан.</w:t>
      </w:r>
    </w:p>
    <w:p>
      <w:pPr>
        <w:pStyle w:val="BodyText"/>
      </w:pPr>
      <w:r>
        <w:t xml:space="preserve">Ответ на обращение направляется в форме электронного документа по адресу электронной почты, указанному в обращении, либо по адресу (уникальному идентификатору)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w:t>
      </w:r>
    </w:p>
    <w:p>
      <w:pPr>
        <w:pStyle w:val="BodyText"/>
      </w:pPr>
      <w:r>
        <w:t xml:space="preserve">В целях обеспечения безопасности граждан в связи с их обращениями в органы, осуществляющие оперативно-разыскную деятельность или обеспечение безопасности Российской Федерации, нормативными правовыми актами указанных органов может быть установлен особый порядок направления обращений в форме электронного документа и направления ответов на обращения и соответствующих уведомлений.</w:t>
      </w:r>
    </w:p>
    <w:p>
      <w:pPr>
        <w:pStyle w:val="BodyText"/>
      </w:pPr>
      <w:r>
        <w:t xml:space="preserve">Поправки вступят в силу с 30.03.2025.</w:t>
      </w:r>
    </w:p>
    <w:p>
      <w:pPr>
        <w:pStyle w:val="BodyText"/>
      </w:pPr>
      <w:r>
        <w:rPr>
          <w:bCs/>
          <w:b/>
        </w:rPr>
        <w:t xml:space="preserve">4.</w:t>
      </w:r>
      <w:r>
        <w:t xml:space="preserve"> </w:t>
      </w:r>
      <w:r>
        <w:t xml:space="preserve">Федеральной антимонопольной службой России в соответствии с ч. 1 ст. 5 Закона № 223-ФЗ утвержден Порядок проверки представленных заказчиком документов, содержащих сведения, предусмотренные</w:t>
      </w:r>
      <w:r>
        <w:t xml:space="preserve"> </w:t>
      </w:r>
      <w:hyperlink r:id="rId20">
        <w:r>
          <w:rPr>
            <w:rStyle w:val="Hyperlink"/>
          </w:rPr>
          <w:t xml:space="preserve">пунктами 2-4</w:t>
        </w:r>
      </w:hyperlink>
      <w:r>
        <w:t xml:space="preserve"> </w:t>
      </w:r>
      <w:r>
        <w:t xml:space="preserve">Правил, утвержденных</w:t>
      </w:r>
      <w:r>
        <w:t xml:space="preserve"> </w:t>
      </w:r>
      <w:hyperlink r:id="rId21">
        <w:r>
          <w:rPr>
            <w:rStyle w:val="Hyperlink"/>
          </w:rPr>
          <w:t xml:space="preserve">постановлением Правительства РФ от 22 ноября 2012 г. № 1211</w:t>
        </w:r>
      </w:hyperlink>
      <w:r>
        <w:t xml:space="preserve"> </w:t>
      </w:r>
      <w:r>
        <w:t xml:space="preserve">(далее – Порядок) (</w:t>
      </w:r>
      <w:hyperlink r:id="rId22">
        <w:r>
          <w:rPr>
            <w:rStyle w:val="Hyperlink"/>
          </w:rPr>
          <w:t xml:space="preserve">приказ ФАС России от 24 декабря 2024 г. № 1072/24</w:t>
        </w:r>
      </w:hyperlink>
      <w:r>
        <w:t xml:space="preserve">).</w:t>
      </w:r>
    </w:p>
    <w:p>
      <w:pPr>
        <w:pStyle w:val="BodyText"/>
      </w:pPr>
      <w:r>
        <w:t xml:space="preserve">Порядком, в частности, предусмотрено, что документы, содержащие соответствующие сведения, направляются заказчиком в ФАС России либо ее территориальный орган по месту нахождения заказчика, указанному в извещении о закупке (документации о закупке). При этом ФАС России рассматривает указанные документы в случаях проведения закупки, НМЦД (цена лота) которой превышает:</w:t>
      </w:r>
    </w:p>
    <w:p>
      <w:pPr>
        <w:pStyle w:val="BodyText"/>
      </w:pPr>
      <w:r>
        <w:t xml:space="preserve">· 700 млн руб.;</w:t>
      </w:r>
    </w:p>
    <w:p>
      <w:pPr>
        <w:pStyle w:val="BodyText"/>
      </w:pPr>
      <w:r>
        <w:t xml:space="preserve">· 100 млн руб., заказчиками, у которых общая сумма договоров, заключенных в течение года, предшествующего году, в котором направляются документы, превышает 1 млрд руб.</w:t>
      </w:r>
    </w:p>
    <w:p>
      <w:pPr>
        <w:pStyle w:val="BodyText"/>
      </w:pPr>
      <w:r>
        <w:t xml:space="preserve">Проверка документов, представляемых заказчиками, проводится комиссией по контролю в сфере закупок центрального аппарата ФАС России либо ее территориального органа в течение 10 рабочих дней со дня поступления.</w:t>
      </w:r>
    </w:p>
    <w:p>
      <w:pPr>
        <w:pStyle w:val="BodyText"/>
      </w:pPr>
      <w:r>
        <w:rPr>
          <w:bCs/>
          <w:b/>
        </w:rPr>
        <w:t xml:space="preserve">5.</w:t>
      </w:r>
      <w:r>
        <w:t xml:space="preserve"> </w:t>
      </w:r>
      <w:r>
        <w:t xml:space="preserve">За участниками специальной военной операции сохранят рабочие места на весь период службы.</w:t>
      </w:r>
    </w:p>
    <w:p>
      <w:pPr>
        <w:pStyle w:val="BodyText"/>
      </w:pPr>
      <w:r>
        <w:t xml:space="preserve">Федеральным законом от 26.12.2024 № 498-ФЗ внесены изменения в статью 351.7 Трудового кодекса РФ, которые вступают в силу с 1 марта 2025 года. Согласно изменениям, действие трудового договора подлежит приостановлению на весь период прохождения работником службы или действия контракта.</w:t>
      </w:r>
    </w:p>
    <w:p>
      <w:pPr>
        <w:pStyle w:val="BodyText"/>
      </w:pPr>
      <w:r>
        <w:t xml:space="preserve">Работодатель на основании заявления работника издает приказ о приостановлении действия трудового договора. На этот период за работником сохраняется место работы (должность).</w:t>
      </w:r>
    </w:p>
    <w:p>
      <w:pPr>
        <w:pStyle w:val="BodyText"/>
      </w:pPr>
      <w:r>
        <w:t xml:space="preserve">Работодатель не позднее дня приостановления действия трудового договора обязан выплатить работнику причитающиеся ему выплаты в полном объеме.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pPr>
        <w:pStyle w:val="BodyText"/>
      </w:pPr>
      <w:r>
        <w:t xml:space="preserve">Работодатель в период приостановления действия трудового договора вправе выплачивать работнику материальную помощь. Этот период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pPr>
        <w:pStyle w:val="BodyText"/>
      </w:pPr>
      <w: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pPr>
        <w:pStyle w:val="BodyText"/>
      </w:pPr>
      <w:r>
        <w:t xml:space="preserve">Работник в течение шести месяцев после возобновления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br/>
      </w:r>
      <w: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отдельных случаев (ликвидация организации, прекращение деятельности ИП, истечение срока действия трудового договора, если он был заключен на определенный срок (сезонные работы, временные работы и др.).</w:t>
      </w:r>
    </w:p>
    <w:p>
      <w:pPr>
        <w:pStyle w:val="BodyText"/>
      </w:pPr>
      <w:r>
        <w:t xml:space="preserve">В случае, если работник не вышел на работу по истечении трех месяцев после окончания прохождения им службы, расторжение трудового договора с работником осуществляется по инициативе работодателя по п. 13.1 ч.1 ст. 81 Трудового кодекса РФ.</w:t>
      </w:r>
    </w:p>
    <w:p>
      <w:pPr>
        <w:pStyle w:val="BodyText"/>
      </w:pPr>
      <w:r>
        <w:t xml:space="preserve">Несмотря на это, лицо, с которым был расторгнут трудовой договор по указанному основанию,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службу, заключения контракта,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w:t>
      </w:r>
    </w:p>
    <w:p>
      <w:pPr>
        <w:pStyle w:val="BodyText"/>
      </w:pPr>
      <w:r>
        <w:t xml:space="preserve">При этом работа по соответствующей должности не должна быть противопоказана по состоянию здоровья.</w:t>
      </w:r>
    </w:p>
    <w:p>
      <w:pPr>
        <w:pStyle w:val="BodyText"/>
      </w:pPr>
      <w:r>
        <w:rPr>
          <w:bCs/>
          <w:b/>
        </w:rPr>
        <w:t xml:space="preserve">6.</w:t>
      </w:r>
      <w:r>
        <w:t xml:space="preserve"> </w:t>
      </w:r>
      <w:r>
        <w:t xml:space="preserve">Виды компенсаций за работу в выходные и нерабочие праздничные дни.</w:t>
      </w:r>
    </w:p>
    <w:p>
      <w:pPr>
        <w:pStyle w:val="BodyText"/>
      </w:pPr>
      <w:r>
        <w:t xml:space="preserve">Статьей 153 Трудового кодекса Российской Федерации установлена обязанность работодателя компенсировать работу в выходной и нерабочий праздничным день и оплатить отработанное время не менее чем в двойном размере или предоставить другой день отдыха.</w:t>
      </w:r>
    </w:p>
    <w:p>
      <w:pPr>
        <w:pStyle w:val="BodyText"/>
      </w:pPr>
      <w:r>
        <w:t xml:space="preserve">Работа в выходной и нерабочий праздничный день оплачивается:</w:t>
      </w:r>
      <w:r>
        <w:br/>
      </w:r>
      <w:r>
        <w:t xml:space="preserve">- сдельщикам не менее чем по двойным сдельным расценкам;</w:t>
      </w:r>
      <w:r>
        <w:br/>
      </w:r>
      <w:r>
        <w:t xml:space="preserve">- работникам, труд которых оплачивается по дневным и часовым тарифным ставкам, в размере не менее двойной дневной или часовой тарифной ставки;</w:t>
      </w:r>
      <w:r>
        <w:br/>
      </w:r>
      <w:r>
        <w:t xml:space="preserve">- работникам, получающим оклад, в размере не менее одинарной дневной или часовой ставки за день или час работы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сверх оклада, если работа производилась сверх месячной нормы рабочего времени.</w:t>
      </w:r>
    </w:p>
    <w:p>
      <w:pPr>
        <w:pStyle w:val="BodyText"/>
      </w:pPr>
      <w:r>
        <w:t xml:space="preserve">Конкретный размер оплаты работы в выходной или нерабочий праздничный день может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pPr>
        <w:pStyle w:val="BodyText"/>
      </w:pPr>
      <w:r>
        <w:t xml:space="preserve">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такой день (от 0 до 24 часов),</w:t>
      </w:r>
    </w:p>
    <w:p>
      <w:pPr>
        <w:pStyle w:val="BodyText"/>
      </w:pPr>
      <w: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pPr>
        <w:pStyle w:val="BodyText"/>
      </w:pPr>
      <w:r>
        <w:t xml:space="preserve">Федеральным законом от 30.09.2024 № 339-ФЗ статья 153 Трудового кодекса Российской Федерации дополнена новыми нормами, согласно которым указанный выше 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pPr>
        <w:pStyle w:val="BodyText"/>
      </w:pPr>
      <w:r>
        <w:t xml:space="preserve">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pPr>
        <w:pStyle w:val="BodyText"/>
      </w:pPr>
      <w:r>
        <w:t xml:space="preserve">Федеральный закон вступает в силу с 1 марта 2025 года.</w:t>
      </w:r>
    </w:p>
    <w:p>
      <w:pPr>
        <w:pStyle w:val="BodyText"/>
      </w:pPr>
      <w:r>
        <w:rPr>
          <w:bCs/>
          <w:b/>
        </w:rPr>
        <w:t xml:space="preserve">7.</w:t>
      </w:r>
      <w:r>
        <w:t xml:space="preserve"> </w:t>
      </w:r>
      <w:r>
        <w:t xml:space="preserve">Установлена уголовная ответственность за незаконное использование компьютерной информации, содержащей персональные данные.</w:t>
      </w:r>
    </w:p>
    <w:p>
      <w:pPr>
        <w:pStyle w:val="BodyText"/>
      </w:pPr>
      <w:r>
        <w:t xml:space="preserve">Федеральным законом от 30.11.2024 №421-ФЗ в Уголовный кодекс Российской Федерации введена статья 272.1, предусматривающая уголовную ответственность за незаконные использование, передачу, сбор, хранение компьютерной информации, содержащей персональные данные, а равно создание, обеспечение функционирования информационных ресурсов, предназначенных для ее незаконных хранения и распространения.</w:t>
      </w:r>
    </w:p>
    <w:p>
      <w:pPr>
        <w:pStyle w:val="BodyText"/>
      </w:pPr>
      <w:r>
        <w:t xml:space="preserve">Под компьютерной информацией понимаются сведения, представленные в форме электрических сигналов, независимо от средств их хранения, обработки и передачи. Указанные сведения могут содержаться как в памяти ЭВМ или других компьютерных устройств, так и на любых внешних носителях.</w:t>
      </w:r>
    </w:p>
    <w:p>
      <w:pPr>
        <w:pStyle w:val="BodyText"/>
      </w:pPr>
      <w:r>
        <w:t xml:space="preserve">Персональные данные – любая информация, относящаяся к определенному физическому лицу, то есть субъекту персональных данных. К такой информации относятся: ФИО, дата рождения, место рождения, ИНН, адрес, телефон, семейное положение, социальное положение, имущественное положение, образование, профессия, занимаемая должность, стаж работы, доходы и иная информация.</w:t>
      </w:r>
    </w:p>
    <w:p>
      <w:pPr>
        <w:pStyle w:val="BodyText"/>
      </w:pPr>
      <w:r>
        <w:t xml:space="preserve">Ключевым условием наступления ответственности, предусмотренной ст. 272.1 УК РФ является одновременное наличие двух составляющих в действиях виновного лица:</w:t>
      </w:r>
    </w:p>
    <w:p>
      <w:pPr>
        <w:pStyle w:val="BodyText"/>
      </w:pPr>
      <w:r>
        <w:t xml:space="preserve">- незаконный способ завладения персональными данными в электронном виде;</w:t>
      </w:r>
    </w:p>
    <w:p>
      <w:pPr>
        <w:pStyle w:val="BodyText"/>
      </w:pPr>
      <w:r>
        <w:t xml:space="preserve">- незаконные действия, связанные с их распространением.</w:t>
      </w:r>
    </w:p>
    <w:p>
      <w:pPr>
        <w:pStyle w:val="BodyText"/>
      </w:pPr>
      <w:r>
        <w:t xml:space="preserve">За совершение данного деяния предусмотрено максимальное наказание в виде лишения свободы на срок до десяти лет со штрафом в размере до трех миллионов рублей. Возможно также лишение права занимать определенные должности или заниматься определенной деятельностью на срок до пяти лет.</w:t>
      </w:r>
    </w:p>
    <w:p>
      <w:pPr>
        <w:pStyle w:val="BodyText"/>
      </w:pPr>
      <w:r>
        <w:t xml:space="preserve">Так же наказуемым стало создание ресурсов, сайтов в сети «Интернет» заведомо предназначенных для незаконного хранения, передачи (распространения, предоставления, доступа) компьютерной информации, содержащей персональные данные, полученной незаконным путем.</w:t>
      </w:r>
    </w:p>
    <w:p>
      <w:pPr>
        <w:pStyle w:val="BodyText"/>
      </w:pPr>
      <w:r>
        <w:t xml:space="preserve">Следует обратить внимание, что действие настоящей статьи не распространяется на случаи обработки персональных данных физическими лицами исключительно для личных и семейных нужд.</w:t>
      </w:r>
    </w:p>
    <w:p>
      <w:pPr>
        <w:pStyle w:val="BodyText"/>
      </w:pPr>
      <w:r>
        <w:rPr>
          <w:bCs/>
          <w:b/>
        </w:rPr>
        <w:t xml:space="preserve">8.</w:t>
      </w:r>
      <w:r>
        <w:t xml:space="preserve"> </w:t>
      </w:r>
      <w:r>
        <w:t xml:space="preserve">Принят закон о запрете продажи несовершеннолетним потенциально опасных газосодержащих товаров бытового назначения.</w:t>
      </w:r>
    </w:p>
    <w:p>
      <w:pPr>
        <w:pStyle w:val="BodyText"/>
      </w:pPr>
      <w:r>
        <w:t xml:space="preserve">С 01.03.2025 вступают в силу положения Федерального закона от 30.11.2024 № 438-ФЗ «О внесении изменения в отдельные законодательные акты Российской Федерации», в соответствии с которыми запрещается продажа детям товаров бытового назначения, содержащих сжиженные углеводородные газы.</w:t>
      </w:r>
    </w:p>
    <w:p>
      <w:pPr>
        <w:pStyle w:val="BodyText"/>
      </w:pPr>
      <w:r>
        <w:t xml:space="preserve">В целях обеспечения прав детей на охрану здоровья от негативного воздействия сжиженных углеводородных газов запрещается продажа (в том числе дистанционным способом) несовершеннолетним потенциально опасных газосодержащих товаров бытового назначения. Перечень таких товаров будет установлен Правительством Российской Федерации до 01.03.2025.</w:t>
      </w:r>
    </w:p>
    <w:p>
      <w:pPr>
        <w:pStyle w:val="BodyText"/>
      </w:pPr>
      <w:r>
        <w:t xml:space="preserve">Потенциально опасные газосодержащие товары бытового назначения – товары для личных и бытовых нужд, содержащие сжиженные углеводородные газы, представляющие опасность для жизни и здоровья при использовании путем вдыхания указанных газов и их паров.</w:t>
      </w:r>
    </w:p>
    <w:p>
      <w:pPr>
        <w:pStyle w:val="BodyText"/>
      </w:pPr>
      <w:r>
        <w:t xml:space="preserve">В указанном законе закреплено, что продавец обязан отказать покупателю в продаже, в том числе дистанционным способом – посредством онлайн-магазинов, потенциально опасных газосодержащих товаров бытового назначения, если в отношении покупателя имеются сомнения в достижении им совершеннолетия, но продавец не может в этом удостовериться.</w:t>
      </w:r>
    </w:p>
    <w:p>
      <w:pPr>
        <w:pStyle w:val="BodyText"/>
      </w:pPr>
      <w:r>
        <w:rPr>
          <w:bCs/>
          <w:b/>
        </w:rPr>
        <w:t xml:space="preserve">9.</w:t>
      </w:r>
      <w:r>
        <w:t xml:space="preserve"> </w:t>
      </w:r>
      <w:r>
        <w:t xml:space="preserve">С 1 марта 2025 года гражданам можно будет устанавливать самозапрет на выдачу кредитов.</w:t>
      </w:r>
    </w:p>
    <w:p>
      <w:pPr>
        <w:pStyle w:val="BodyText"/>
      </w:pPr>
      <w:r>
        <w:t xml:space="preserve">Федеральным законом от 26.02.2024 № 31-ФЗ в Федеральные законы «О кредитных историях» и «О потребительском кредите (займе)» внесены изменения, позволяющие гражданам Российской Федерации устанавливать самозапрет на выдачу кредитов и займов.</w:t>
      </w:r>
    </w:p>
    <w:p>
      <w:pPr>
        <w:pStyle w:val="BodyText"/>
      </w:pPr>
      <w:r>
        <w:t xml:space="preserve">Закон даст гражданам возможность дополнительно защитить себя от мошенников, которые оформляют кредиты и микрозаймы на чужое имя, используя украденные или полученные обманом персональные данные.</w:t>
      </w:r>
    </w:p>
    <w:p>
      <w:pPr>
        <w:pStyle w:val="BodyText"/>
      </w:pPr>
      <w:r>
        <w:t xml:space="preserve">Для установления или снятия такого запрета физическое лицо вправе бесплатно любое количество раз подать заявление в квалифицированные бюро кредитных историй через МФЦ либо портал «Госуслуг».</w:t>
      </w:r>
    </w:p>
    <w:p>
      <w:pPr>
        <w:pStyle w:val="BodyText"/>
      </w:pPr>
      <w:r>
        <w:t xml:space="preserve">При этом закон не будет распространяться на ипотеку, автокредиты, а также образовательные кредиты, предоставленные в рамках государственной поддержки.</w:t>
      </w:r>
    </w:p>
    <w:p>
      <w:pPr>
        <w:pStyle w:val="BodyText"/>
      </w:pPr>
      <w:r>
        <w:t xml:space="preserve">Поправки вступают в силу с 1 марта 2025 года.</w:t>
      </w:r>
    </w:p>
    <w:p>
      <w:pPr>
        <w:pStyle w:val="BodyText"/>
      </w:pPr>
      <w:r>
        <w:rPr>
          <w:bCs/>
          <w:b/>
        </w:rPr>
        <w:t xml:space="preserve">10.</w:t>
      </w:r>
      <w:r>
        <w:t xml:space="preserve"> </w:t>
      </w:r>
      <w:r>
        <w:t xml:space="preserve">Установлена ответственность за нарушения правил выгула и других требований к содержанию домашних животных.</w:t>
      </w:r>
    </w:p>
    <w:p>
      <w:pPr>
        <w:pStyle w:val="BodyText"/>
      </w:pPr>
      <w:r>
        <w:t xml:space="preserve">Федеральным законом от 30.11.2024 № 440-ФЗ внесены изменения в статью 8.52 Кодекса Российской Федерации об административных правонарушениях, которой предусмотрена административная ответственность за несоблюдение требований к содержанию животных.</w:t>
      </w:r>
    </w:p>
    <w:p>
      <w:pPr>
        <w:pStyle w:val="BodyText"/>
      </w:pPr>
      <w:r>
        <w:t xml:space="preserve">К числу охраняемых законом требований, в частности, относятся:</w:t>
      </w:r>
    </w:p>
    <w:p>
      <w:pPr>
        <w:pStyle w:val="BodyText"/>
      </w:pPr>
      <w:r>
        <w:t xml:space="preserve">- соблюдение прав и законных интересов соседей по многоквартирному дому, окружающих (причинение собакой ущерба имуществу других лиц, нападение собаки на других животных или людей);</w:t>
      </w:r>
    </w:p>
    <w:p>
      <w:pPr>
        <w:pStyle w:val="BodyText"/>
      </w:pPr>
      <w:r>
        <w:t xml:space="preserve">- обеспечение безопасности окружающих при выгуле домашнего животного (к примеру, не допускать выгул потенциально опасной собаки без поводка и намордника, исключать возможность неконтролируемого передвижения питомца вне мест, разрешенных для выгула);</w:t>
      </w:r>
    </w:p>
    <w:p>
      <w:pPr>
        <w:pStyle w:val="BodyText"/>
      </w:pPr>
      <w:r>
        <w:t xml:space="preserve">- уборка продуктов жизнедеятельности животного в местах и на территориях общего пользования и др.</w:t>
      </w:r>
    </w:p>
    <w:p>
      <w:pPr>
        <w:pStyle w:val="BodyText"/>
      </w:pPr>
      <w:r>
        <w:t xml:space="preserve">За несоблюдение этих требований к содержанию животных грозит административный штраф: для граждан в размере от 1 500 до 3 000 рублей; для должностных лиц от 5 000 до 15 000 рублей; для юридических лиц от 15 000 до 30 000 рублей.</w:t>
      </w:r>
    </w:p>
    <w:p>
      <w:pPr>
        <w:pStyle w:val="BodyText"/>
      </w:pPr>
      <w:r>
        <w:t xml:space="preserve">Административная ответственность не применяется к владельцу питомца в случае, если такое нарушение допущено в результате действий иного лица, которое должно было непосредственно присматривать за животным, а также если животное выбыло из владения в результате противоправных действий других лиц.</w:t>
      </w:r>
    </w:p>
    <w:p>
      <w:pPr>
        <w:pStyle w:val="BodyText"/>
      </w:pPr>
      <w:r>
        <w:rPr>
          <w:bCs/>
          <w:b/>
        </w:rPr>
        <w:t xml:space="preserve">11.</w:t>
      </w:r>
      <w:r>
        <w:t xml:space="preserve"> </w:t>
      </w:r>
      <w:r>
        <w:t xml:space="preserve">Договоры дарения недвижимости необходимо заверять у нотариуса в связи с Федерального закона от 13 декабря 2024 года № 459-ФЗ «О внесении изменений в статью 574 части второй Гражданского кодекса Российской Федерации», то есть с 10 января 2025 года.</w:t>
      </w:r>
    </w:p>
    <w:p>
      <w:pPr>
        <w:pStyle w:val="BodyText"/>
      </w:pPr>
      <w:r>
        <w:t xml:space="preserve">Процедура является платной: госпошлина составит 0,5% суммы договора, но не более 20 тыс. рублей; региональный тариф — 5 500 рублей за один объект; получатель недвижимости заплатит НДФЛ, если не является дарителю близким родственником.</w:t>
      </w:r>
    </w:p>
    <w:p>
      <w:pPr>
        <w:pStyle w:val="BodyText"/>
      </w:pPr>
      <w:r>
        <w:rPr>
          <w:bCs/>
          <w:b/>
        </w:rPr>
        <w:t xml:space="preserve">12.</w:t>
      </w:r>
      <w:r>
        <w:t xml:space="preserve"> </w:t>
      </w:r>
      <w:r>
        <w:t xml:space="preserve">С 01.01.2025 существенно расширяется прогрессивная шкала ставок по НДФЛ.</w:t>
      </w:r>
    </w:p>
    <w:p>
      <w:pPr>
        <w:pStyle w:val="BodyText"/>
      </w:pPr>
      <w:r>
        <w:t xml:space="preserve">Вместо двух ставок — 13% и 15% — для основных видов доходов налоговых резидентов России вводится пять различных ставок, каждая из которых применяется к превышению суммового порога предыдущей (п. 1 ст. 224 НК).</w:t>
      </w:r>
    </w:p>
    <w:p>
      <w:pPr>
        <w:pStyle w:val="BodyText"/>
      </w:pPr>
      <w:r>
        <w:t xml:space="preserve">Для доходов в виде оплаты труда лиц, работающих на Крайнем Севере, а также участников СВО сохранятся текущие ставки налогообложения: 13% — до 5 млн руб. включительно; 15% — свыше этой суммы (п. 1.2 ст. 224, п. 6.1 и 6.2 ст. 210 НК).</w:t>
      </w:r>
    </w:p>
    <w:p>
      <w:pPr>
        <w:pStyle w:val="BodyText"/>
      </w:pPr>
      <w:r>
        <w:t xml:space="preserve">Кроме того, для отдельных видов доходов налоговых резидентов России, таких как: доходы от продажи имущества; страховые доходы; доходы от долевого участия (дивиденды); доходы по операциям с ценными бумагами, долями и ПФИ; отдельные виды материальной выгоды; доходы по операциям РЕПО и процентам по вкладам, установлены следующие ставки (п. 6 ст. 210 НК).</w:t>
      </w:r>
    </w:p>
    <w:p>
      <w:pPr>
        <w:pStyle w:val="BodyText"/>
      </w:pPr>
      <w:r>
        <w:t xml:space="preserve">Также изменены ставки по доходам отдельных налоговых нерезидентов России. Так, доходы ВКС, иностранных граждан, работающих по найму, экипажей судов и беженцев будут облагаться по пяти основным налоговым ставкам. По этим же ставкам будут облагаться доходы работников, осуществляющих трудовую деятельность из-за рубежа, а также лиц, оказывающих из-за рубежа услуги по Интернету с использованием российских доменных имен.</w:t>
      </w:r>
    </w:p>
    <w:p>
      <w:pPr>
        <w:pStyle w:val="BodyText"/>
      </w:pPr>
      <w:r>
        <w:rPr>
          <w:bCs/>
          <w:b/>
        </w:rPr>
        <w:t xml:space="preserve">13.</w:t>
      </w:r>
      <w:r>
        <w:t xml:space="preserve"> </w:t>
      </w:r>
      <w:r>
        <w:t xml:space="preserve">Федеральным законом от 26.12.2024 № 491-ФЗ Лесной кодекс Российской Федерации дополнен новой главой, определяющей основные правила осуществления семеноводства в лесном фонде и в лесах на других категориях земель.</w:t>
      </w:r>
    </w:p>
    <w:p>
      <w:pPr>
        <w:pStyle w:val="BodyText"/>
      </w:pPr>
      <w:r>
        <w:t xml:space="preserve">Установлено, что при воспроизводстве лесов и лесоразведении не допускается применение: нерайонированных семян лесных растений, саженцев, сеянцев основных лесных древесных пород; семян лесных растений, саженцев, сеянцев основных лесных древесных пород, выращенных из семян лесных растений, посевные качества которых не определены.</w:t>
      </w:r>
    </w:p>
    <w:p>
      <w:pPr>
        <w:pStyle w:val="BodyText"/>
      </w:pPr>
      <w:r>
        <w:t xml:space="preserve">Кроме того, регламентированы особенности производства, хранения, транспортировки, реализации и использования семян лесных растений, саженцев, сеянцев основных лесных древесных пород, определены правила формирования федерального фонда семян лесных растений, а также предусмотрены особенности определения показателей посевных качеств семян лесных растений, по результатам которого выдается сертификат качества таких семян.</w:t>
      </w:r>
    </w:p>
    <w:p>
      <w:pPr>
        <w:pStyle w:val="BodyText"/>
      </w:pPr>
      <w:r>
        <w:t xml:space="preserve">Помимо прочего, законом до 1 января 2028 года в лесах, расположенных в лесопарковых зонах (за исключением функциональных зон активного отдыха и прогулочных зон), допускается прокладка бестраншейным способом подземных газопроводов газораспределительной сети без проведения рубок лесных насаждений.</w:t>
      </w:r>
    </w:p>
    <w:p>
      <w:pPr>
        <w:pStyle w:val="BodyText"/>
      </w:pPr>
      <w:r>
        <w:t xml:space="preserve">Проведение рубок лесных насаждений в границах охранных зон таких газопроводов не допускается.</w:t>
      </w:r>
    </w:p>
    <w:p>
      <w:pPr>
        <w:pStyle w:val="BodyText"/>
      </w:pPr>
      <w:r>
        <w:t xml:space="preserve">Федеральный закон вступил в законную силу с 26.12.2024, за исключением положений, для которых установлены иные сроки вступления в силу.</w:t>
      </w:r>
    </w:p>
    <w:p>
      <w:pPr>
        <w:pStyle w:val="BodyText"/>
      </w:pPr>
      <w:r>
        <w:rPr>
          <w:bCs/>
          <w:b/>
        </w:rPr>
        <w:t xml:space="preserve">14.</w:t>
      </w:r>
      <w:r>
        <w:t xml:space="preserve"> </w:t>
      </w:r>
      <w:r>
        <w:t xml:space="preserve">Федеральным законом от 08.08.2024 № 226-ФЗ Уголовный кодекс Российской Федерации дополнен статьей 230.3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w:t>
      </w:r>
    </w:p>
    <w:p>
      <w:pPr>
        <w:pStyle w:val="BodyText"/>
      </w:pPr>
      <w:r>
        <w:t xml:space="preserve">Ответственность распространятся только на лиц, которые подвергнуты административному наказанию за аналогичное правонарушение, предусмотренное ст. 6.13 КоАП РФ, два раза в течение одного года либо имеющие судимость за совершение преступления, предусмотренного данной статьей.</w:t>
      </w:r>
    </w:p>
    <w:p>
      <w:pPr>
        <w:pStyle w:val="BodyText"/>
      </w:pPr>
      <w:r>
        <w:t xml:space="preserve">За совершение данного преступления к лицу могут быть применены следующие наказания:</w:t>
      </w:r>
    </w:p>
    <w:p>
      <w:pPr>
        <w:pStyle w:val="BodyText"/>
      </w:pPr>
      <w:r>
        <w:t xml:space="preserve">1) Штраф в размере от ста тысяч до трехсот тысяч рублей или в размере заработной платы или иного дохода за период от одного года до двух лет,</w:t>
      </w:r>
    </w:p>
    <w:p>
      <w:pPr>
        <w:pStyle w:val="BodyText"/>
      </w:pPr>
      <w:r>
        <w:t xml:space="preserve">2) Обязательные работы на срок от ста восьмидесяти до двухсот сорока часов с лишением права занимать определенные должности или заниматься определенной деятельностью на срок до двух лет,</w:t>
      </w:r>
    </w:p>
    <w:p>
      <w:pPr>
        <w:pStyle w:val="BodyText"/>
      </w:pPr>
      <w:r>
        <w:t xml:space="preserve">3) Исправительные работы на срок до двух лет с лишением права занимать определенные должности или заниматься определенной деятельностью на срок до двух лет,</w:t>
      </w:r>
    </w:p>
    <w:p>
      <w:pPr>
        <w:pStyle w:val="BodyText"/>
      </w:pPr>
      <w:r>
        <w:t xml:space="preserve">4) Ограничение свободы на срок до двух лет с лишением права занимать определенные должности или заниматься определенной деятельностью на срок до двух лет,</w:t>
      </w:r>
    </w:p>
    <w:p>
      <w:pPr>
        <w:pStyle w:val="BodyText"/>
      </w:pPr>
      <w:r>
        <w:t xml:space="preserve">5) Принудительные работы на срок до двух лет с лишением права занимать определенные должности или заниматься определенной деятельностью на срок до двух лет,</w:t>
      </w:r>
    </w:p>
    <w:p>
      <w:pPr>
        <w:pStyle w:val="BodyText"/>
      </w:pPr>
      <w:r>
        <w:t xml:space="preserve">6) Лишение свободы срок до двух лет с лишением права занимать определенные должности,</w:t>
      </w:r>
    </w:p>
    <w:p>
      <w:pPr>
        <w:pStyle w:val="BodyText"/>
      </w:pPr>
      <w:r>
        <w:t xml:space="preserve">7) Заниматься определенной деятельностью на срок до двух лет или без такового.</w:t>
      </w:r>
    </w:p>
    <w:p>
      <w:pPr>
        <w:pStyle w:val="BodyText"/>
      </w:pPr>
      <w:r>
        <w:t xml:space="preserve">Указанные изменения вступают в силу с 1 сентября 2025 года.</w:t>
      </w:r>
    </w:p>
    <w:p>
      <w:pPr>
        <w:pStyle w:val="BodyText"/>
      </w:pPr>
      <w:r>
        <w:rPr>
          <w:bCs/>
          <w:b/>
        </w:rPr>
        <w:t xml:space="preserve">15.</w:t>
      </w:r>
      <w:r>
        <w:t xml:space="preserve"> </w:t>
      </w:r>
      <w:r>
        <w:t xml:space="preserve">Федеральным законом от 09.11.2024 № 383-ФЗ «О внесении изменений в Уголовный кодекс Российской Федерации и статью 151 Уголовно-процессуального кодекса Российской Федерации» усилена уголовная ответственность за организацию незаконной миграции, фиктивную регистрацию и фиктивную постановку на учет иностранных граждан и лиц без гражданства, подделку, изготовление или оборот поддельных документов.</w:t>
      </w:r>
    </w:p>
    <w:p>
      <w:pPr>
        <w:pStyle w:val="BodyText"/>
      </w:pPr>
      <w:r>
        <w:t xml:space="preserve">Соответствующие изменения, которыми повышаются санкции и вводятся новые квалифицирующие признаки, внесены в статьи 322.1 - 322.3 и 327 УК РФ.</w:t>
      </w:r>
    </w:p>
    <w:p>
      <w:pPr>
        <w:pStyle w:val="BodyText"/>
      </w:pPr>
      <w:r>
        <w:t xml:space="preserve">Также в статью 151 УПК РФ внесены корреспондирующие изменения, касающиеся проведения предварительного следствия в отношении преступлений, связанных с организацией незаконной миграции.</w:t>
      </w:r>
    </w:p>
    <w:p>
      <w:pPr>
        <w:pStyle w:val="BodyText"/>
      </w:pPr>
      <w:r>
        <w:t xml:space="preserve">Кроме того, Федеральным законом от 09.11.2024 № 384-ФЗ «О внесении изменения в статью 63 Уголовного кодекса Российской Федерации» определено, что совершение преступления лицом, незаконно находящимся на территории РФ, будет признаваться обстоятельством, отягчающим наказание.</w:t>
      </w:r>
    </w:p>
    <w:p>
      <w:pPr>
        <w:pStyle w:val="BodyText"/>
      </w:pPr>
      <w:r>
        <w:t xml:space="preserve">Федеральным законом от 09.11.2024 N 385-ФЗ «О внесении изменения в статью 15.3 Федерального закона «Об информации, информационных технологиях и о защите информации» дополнено, информация, содержащая предложения о предоставлении незаконных услуг в сфере миграции, а также о способах организации незаконной миграции, будет считаться информацией, распространяемой с нарушением закона.</w:t>
      </w:r>
    </w:p>
    <w:p>
      <w:pPr>
        <w:pStyle w:val="BodyText"/>
      </w:pPr>
      <w:r>
        <w:t xml:space="preserve">К информационным ресурсам, распространяющим такую информацию, будут применяться меры по ограничению к ним доступа.</w:t>
      </w:r>
    </w:p>
    <w:p>
      <w:pPr>
        <w:pStyle w:val="BodyText"/>
      </w:pPr>
      <w:r>
        <w:t xml:space="preserve">Федеральный закон от 09.11.2024 N 387-ФЗ «О внесении изменения в статью 104.1 Уголовного кодекса Российской Федерации» определено, что деньги, ценности и иное имущество, полученные от организации незаконной миграции, совершенной из корыстных побуждений, подлежат конфискации.</w:t>
      </w:r>
    </w:p>
    <w:p>
      <w:pPr>
        <w:pStyle w:val="BodyText"/>
      </w:pPr>
      <w:r>
        <w:t xml:space="preserve">Внесенными изменениями пункт "а" части первой статьи 104.1 УК РФ «Конфискация имущества» дополнен статьей 322.1 УК РФ (организация незаконной миграции). При этом предусматривается, что по данной категории уголовных дел конфискация будет применяться лишь при условии совершения преступления из корыстных побуждений.</w:t>
      </w:r>
    </w:p>
    <w:p>
      <w:pPr>
        <w:pStyle w:val="BodyText"/>
      </w:pPr>
      <w:r>
        <w:t xml:space="preserve">Вышеуказанные Федеральные законы вступают в силу со дня их официального опубликования.</w:t>
      </w:r>
    </w:p>
    <w:p>
      <w:pPr>
        <w:pStyle w:val="BodyText"/>
      </w:pPr>
      <w:r>
        <w:rPr>
          <w:bCs/>
          <w:b/>
        </w:rPr>
        <w:t xml:space="preserve">16.</w:t>
      </w:r>
      <w:r>
        <w:t xml:space="preserve"> </w:t>
      </w:r>
      <w:r>
        <w:t xml:space="preserve">Ответственность за продажу сигарет несовершеннолетним.</w:t>
      </w:r>
    </w:p>
    <w:p>
      <w:pPr>
        <w:pStyle w:val="BodyText"/>
      </w:pPr>
      <w:r>
        <w:t xml:space="preserve">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или сырья для их производства влечет наложение административного штрафа (ч. 3 ст. 14.53 КоАП РФ).</w:t>
      </w:r>
    </w:p>
    <w:p>
      <w:pPr>
        <w:pStyle w:val="BodyText"/>
      </w:pPr>
      <w:r>
        <w:t xml:space="preserve">С 8 января 2025 года введена уголовная ответственность за повторную продажу несовершеннолетним табачной и иной продукции (ст. 151.1 УК РФ).</w:t>
      </w:r>
    </w:p>
    <w:p>
      <w:pPr>
        <w:pStyle w:val="BodyText"/>
      </w:pPr>
      <w:r>
        <w:t xml:space="preserve">Уголовному преследованию подлежит ПОВТОРНАЯ продажа несовершеннолетним:</w:t>
      </w:r>
    </w:p>
    <w:p>
      <w:pPr>
        <w:pStyle w:val="BodyText"/>
      </w:pPr>
      <w:r>
        <w:t xml:space="preserve">- табачной и никотинсодержащей продукции и сырья для их производства;</w:t>
      </w:r>
    </w:p>
    <w:p>
      <w:pPr>
        <w:pStyle w:val="BodyText"/>
      </w:pPr>
      <w:r>
        <w:t xml:space="preserve">- табачных изделий;</w:t>
      </w:r>
    </w:p>
    <w:p>
      <w:pPr>
        <w:pStyle w:val="BodyText"/>
      </w:pPr>
      <w:r>
        <w:t xml:space="preserve">- кальянов, устройств для потребления никотинсодержащей продукции.</w:t>
      </w:r>
    </w:p>
    <w:p>
      <w:pPr>
        <w:pStyle w:val="BodyText"/>
      </w:pPr>
      <w:r>
        <w:t xml:space="preserve">Повторность – совершение таких действий в период, когда лицо подвергнуто административному наказанию.</w:t>
      </w:r>
    </w:p>
    <w:p>
      <w:pPr>
        <w:pStyle w:val="BodyText"/>
      </w:pPr>
      <w:r>
        <w:t xml:space="preserve">Виды уголовного наказания:</w:t>
      </w:r>
    </w:p>
    <w:p>
      <w:pPr>
        <w:pStyle w:val="BodyText"/>
      </w:pPr>
      <w:r>
        <w:t xml:space="preserve">- штраф от 50 тыс. до 80 тыс. руб. либо в размере зарплаты или иного дохода осужденного за период от 3 до 6 месяцев;</w:t>
      </w:r>
    </w:p>
    <w:p>
      <w:pPr>
        <w:pStyle w:val="BodyText"/>
      </w:pPr>
      <w:r>
        <w:t xml:space="preserve">- исправительные работы на срок до 1 года с лишением права занимать определенные должности или заниматься определенной деятельностью на срок до 3 лет или без такового.</w:t>
      </w:r>
    </w:p>
    <w:p>
      <w:pPr>
        <w:pStyle w:val="BodyText"/>
      </w:pPr>
      <w:r>
        <w:rPr>
          <w:bCs/>
          <w:b/>
        </w:rPr>
        <w:t xml:space="preserve">17.</w:t>
      </w:r>
      <w:r>
        <w:t xml:space="preserve"> </w:t>
      </w:r>
      <w:r>
        <w:t xml:space="preserve">Договор дарения недвижимости.</w:t>
      </w:r>
    </w:p>
    <w:p>
      <w:pPr>
        <w:pStyle w:val="BodyText"/>
      </w:pPr>
      <w:r>
        <w:t xml:space="preserve">По договору дарения недвижимого имущества одна сторона безвозмездно передает или обязуется передать другой стороне в собственность недвижимое имущество.</w:t>
      </w:r>
    </w:p>
    <w:p>
      <w:pPr>
        <w:pStyle w:val="BodyText"/>
      </w:pPr>
      <w:r>
        <w:t xml:space="preserve">В целях защиты участников сделки и исключения случаев дарения в состоянии заблуждения в статью 574 Гражданского кодекса Российской Федерации внесены изменения (Федеральный закон от 13.12.2024 № 459-ФЗ).</w:t>
      </w:r>
    </w:p>
    <w:p>
      <w:pPr>
        <w:pStyle w:val="BodyText"/>
      </w:pPr>
      <w:r>
        <w:t xml:space="preserve">С 13.01.2025 договор дарения недвижимого имущества, заключенный между гражданами, необходимо заверить у нотариуса.</w:t>
      </w:r>
    </w:p>
    <w:p>
      <w:pPr>
        <w:pStyle w:val="BodyText"/>
      </w:pPr>
      <w:r>
        <w:t xml:space="preserve">Право собственности на недвижимое имущество, как и прежде, подлежит государственной регистрации.</w:t>
      </w:r>
    </w:p>
    <w:p>
      <w:pPr>
        <w:pStyle w:val="BodyText"/>
      </w:pPr>
      <w:r>
        <w:t xml:space="preserve">Таким образом, после нотариального удостоверения договора дарения недвижимого имущества, необходимо также зарегистрировать право собственности.</w:t>
      </w:r>
    </w:p>
    <w:p>
      <w:pPr>
        <w:pStyle w:val="BodyText"/>
      </w:pPr>
      <w:r>
        <w:rPr>
          <w:bCs/>
          <w:b/>
        </w:rPr>
        <w:t xml:space="preserve">18.</w:t>
      </w:r>
      <w:r>
        <w:t xml:space="preserve"> </w:t>
      </w:r>
      <w:r>
        <w:t xml:space="preserve">Изменения в законодательства в части использования средств материнского капитала.</w:t>
      </w:r>
    </w:p>
    <w:p>
      <w:pPr>
        <w:pStyle w:val="BodyText"/>
      </w:pPr>
      <w:r>
        <w:t xml:space="preserve">Федеральным законом от 26.12.2024 № 495-ФЗ внесены изменения в Федеральный закон от 29.12.2006 № 256-ФЗ «О дополнительных мерах государственной поддержки семей, имеющих детей».</w:t>
      </w:r>
    </w:p>
    <w:p>
      <w:pPr>
        <w:pStyle w:val="BodyText"/>
      </w:pPr>
      <w:r>
        <w:t xml:space="preserve">С 01.01.2025 для приобретения жилого помещения за счет средств материнского капитала потребуется заключение о соответствии жилого помещения, являющегося жилым домом (частью жилого дома), в том числе домом блокированной застройки, требованиям, предъявляемым к жилому помещению, и его пригодности для проживания.</w:t>
      </w:r>
    </w:p>
    <w:p>
      <w:pPr>
        <w:pStyle w:val="BodyText"/>
      </w:pPr>
      <w:r>
        <w:t xml:space="preserve">Заключение оформляется в порядке, установленном Правительством Российской Федерации, и действует в течение 1 года со дня его оформления.</w:t>
      </w:r>
    </w:p>
    <w:p>
      <w:pPr>
        <w:pStyle w:val="BodyText"/>
      </w:pPr>
      <w:r>
        <w:t xml:space="preserve">Данные положения не распространяются на лиц, подавших заявления до 01.01.2025.</w:t>
      </w:r>
    </w:p>
    <w:p>
      <w:pPr>
        <w:pStyle w:val="BodyText"/>
      </w:pPr>
      <w:r>
        <w:rPr>
          <w:bCs/>
          <w:b/>
        </w:rPr>
        <w:t xml:space="preserve">19.</w:t>
      </w:r>
      <w:r>
        <w:t xml:space="preserve"> </w:t>
      </w:r>
      <w:r>
        <w:t xml:space="preserve">Основания для замены водительского удостоверения.</w:t>
      </w:r>
    </w:p>
    <w:p>
      <w:pPr>
        <w:pStyle w:val="BodyText"/>
      </w:pPr>
      <w:r>
        <w:t xml:space="preserve">Общий срок действия водительского удостоверения – 10 лет.</w:t>
      </w:r>
    </w:p>
    <w:p>
      <w:pPr>
        <w:pStyle w:val="BodyText"/>
      </w:pPr>
      <w:r>
        <w:t xml:space="preserve">Правительством Российской Федерации продлено на 3 года действие российских национальных водительских удостоверений, сроки по которым истекают (истекли) в период с 1 января 2022 года по 31 декабря 2025 года (Постановление Правительства Российской Федерации от 23.12.2023 № 2269).</w:t>
      </w:r>
    </w:p>
    <w:p>
      <w:pPr>
        <w:pStyle w:val="BodyText"/>
      </w:pPr>
      <w:r>
        <w:t xml:space="preserve">Продление срока действия не требует внесения дополнительных изменений в документы.</w:t>
      </w:r>
    </w:p>
    <w:p>
      <w:pPr>
        <w:pStyle w:val="BodyText"/>
      </w:pPr>
      <w:r>
        <w:t xml:space="preserve">При этом водительские удостоверения, срок действия которых истек в 2022 году, необходимо заменить в 2025 году.</w:t>
      </w:r>
    </w:p>
    <w:p>
      <w:pPr>
        <w:pStyle w:val="BodyText"/>
      </w:pPr>
      <w:r>
        <w:t xml:space="preserve">Лицо, срок действия водительского удостоверения которого истек, является лицом, не имеющим права управления транспортным средством</w:t>
      </w:r>
    </w:p>
    <w:p>
      <w:pPr>
        <w:pStyle w:val="BodyText"/>
      </w:pPr>
      <w:r>
        <w:t xml:space="preserve">За управление автомобилем лицом, не имеющим на это право, предусмотрена административная ответственность в виде штрафа в размере от 5 тыс. руб. до 15 тыс. руб.(ч. 1 ст. 12.7 КоАП РФ).</w:t>
      </w:r>
    </w:p>
    <w:p>
      <w:pPr>
        <w:pStyle w:val="BodyText"/>
      </w:pPr>
      <w:r>
        <w:rPr>
          <w:bCs/>
          <w:b/>
        </w:rPr>
        <w:t xml:space="preserve">20.</w:t>
      </w:r>
      <w:r>
        <w:t xml:space="preserve"> </w:t>
      </w:r>
      <w:r>
        <w:t xml:space="preserve">Органами прокуратуры на постоянной основе осуществляется надзор за исполнением требований налогового законодательства, в том числе, за достоверностью сведений, вносимых в единый государственный реестр юридических лиц (далее - ЕГРЮЛ).</w:t>
      </w:r>
    </w:p>
    <w:p>
      <w:pPr>
        <w:pStyle w:val="BodyText"/>
      </w:pPr>
      <w:r>
        <w:t xml:space="preserve">Понятие «фирма-однодневка» не закреплено в действующем законодательстве, вместе с тем, под таковой понимается юридическое лицо, создаваемое без цели ведения предпринимательской деятельности.</w:t>
      </w:r>
    </w:p>
    <w:p>
      <w:pPr>
        <w:pStyle w:val="BodyText"/>
      </w:pPr>
      <w:r>
        <w:t xml:space="preserve">Фирмы-однодневки создаются для хищения и обналичивания денежных средств, уклонения от уплаты налогов, легализации преступных доходов и совершения других преступлений, угрожающих экономической безопасности и обороне государства.</w:t>
      </w:r>
    </w:p>
    <w:p>
      <w:pPr>
        <w:pStyle w:val="BodyText"/>
      </w:pPr>
      <w:r>
        <w:t xml:space="preserve">Для регистрации фирмы-однодневки злоумышленники используют документы (в первую очередь – паспорт) граждан, не собирающихся реально осуществлять предпринимательскую деятельность, предлагая за их предоставление выплатить гражданину определенную сумму, заверяя, что для него не наступит никаких негативных последствий.</w:t>
      </w:r>
    </w:p>
    <w:p>
      <w:pPr>
        <w:pStyle w:val="BodyText"/>
      </w:pPr>
      <w:r>
        <w:t xml:space="preserve">В качестве «номинальных» учредителей или руководителей, регистрирующих на свое имя организации, чаще всего привлекаются лица, неосведомленные о преступном характере деятельности: студенты, пенсионеры, малоимущие граждане, безработные. Убежденные в законности своих действий, граждане предоставляют свои персональные данные и подписывают документы для государственной регистрации фирм-«однодневок», не имея представления, с какой целью совершают указанные действия. Спустя некоторое время, граждане узнают, что являются руководителями и учредителями фирм - многомиллионных должников, к которым предъявляют требования кредиторы и контролирующие органы.</w:t>
      </w:r>
    </w:p>
    <w:p>
      <w:pPr>
        <w:pStyle w:val="BodyText"/>
      </w:pPr>
      <w:r>
        <w:t xml:space="preserve">Злоумышленник вместе с согласившимся с таким предложением гражданином, посещают нотариуса и налоговую инспекцию, где подписывают документы, необходимые для регистрации гражданина в качестве учредителя или руководителя юридического лица.</w:t>
      </w:r>
    </w:p>
    <w:p>
      <w:pPr>
        <w:pStyle w:val="BodyText"/>
      </w:pPr>
      <w:r>
        <w:t xml:space="preserve">Однако указанные действия не только незаконны, но и уголовно наказуемы.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(ЕГРЮЛ) сведений о подставном лице, образуют состав преступления, предусмотренного ч. 1 ст. 173.2 Уголовного кодекса Российской Федерации. Максимальное наказание за совершение данного преступления – назначение исправительных работ на срок до двух лет. Возраст наступления уголовной ответственности за совершение такого преступления – 16 лет.</w:t>
      </w:r>
    </w:p>
    <w:p>
      <w:pPr>
        <w:pStyle w:val="BodyText"/>
      </w:pPr>
      <w:r>
        <w:t xml:space="preserve">Сами злоумышленники, то есть, лица, предлагающие гражданину стать руководителем фирмы-однодневки, привлекаются к уголовной ответственности по ч.2 ст. 173.2 УК РФ –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сведений о подставном лице и по ст. 173.1 УК РФ – Незаконное образование (создание, реорганизация) юридического лица.</w:t>
      </w:r>
    </w:p>
    <w:p>
      <w:pPr>
        <w:pStyle w:val="BodyText"/>
      </w:pPr>
      <w:r>
        <w:t xml:space="preserve">Санкции статей 173.1, 173.2 УК РФ предусматривают наказание в виде штрафа до 500 тысяч рублей или лишения свободы до 5 лет.</w:t>
      </w:r>
    </w:p>
    <w:p>
      <w:pPr>
        <w:pStyle w:val="BodyText"/>
      </w:pPr>
      <w:r>
        <w:t xml:space="preserve">Вне зависимости от предложенной суммы вознаграждения, не предоставляйте третьим лицам свой паспорт и другие, удостоверяющие личность, документы, не оформляйте на них доверенности, если не имеете четкого понимания цели таких действий и сомневаетесь в намерениях таких лиц. Также, не соглашайтесь на заполнение форм и подписание каких-либо документов по просьбе малознакомых граждан в налоговых органах, у нотариуса или в банковских, кредитных учреждениях.</w:t>
      </w:r>
    </w:p>
    <w:p>
      <w:pPr>
        <w:pStyle w:val="BodyText"/>
      </w:pPr>
      <w:r>
        <w:br/>
      </w:r>
    </w:p>
    <w:p>
      <w:pPr>
        <w:pStyle w:val="BodyText"/>
      </w:pPr>
      <w:r>
        <w:t xml:space="preserve">Адрес страницы:</w:t>
      </w:r>
      <w:r>
        <w:t xml:space="preserve"> </w:t>
      </w:r>
      <w:hyperlink r:id="rId23">
        <w:r>
          <w:rPr>
            <w:rStyle w:val="Hyperlink"/>
          </w:rPr>
          <w:t xml:space="preserve">http://uzao.mos.ru/nash-okrug/prokuror-razyasnyaet/detail/12817519.html</w:t>
        </w:r>
      </w:hyperlink>
    </w:p>
    <w:p>
      <w:pPr>
        <w:pStyle w:val="BodyText"/>
      </w:pPr>
      <w:hyperlink r:id="rId24">
        <w:r>
          <w:rPr>
            <w:rStyle w:val="Hyperlink"/>
          </w:rPr>
          <w:t xml:space="preserve">Префектура Юго-Западного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base.garant.ru/411395379/" TargetMode="External" /><Relationship Type="http://schemas.openxmlformats.org/officeDocument/2006/relationships/hyperlink" Id="rId20" Target="http://base.garant.ru/70269170/7b0b2694c79b0eb03134bbdf8fbdbc61/#block_2002" TargetMode="External" /><Relationship Type="http://schemas.openxmlformats.org/officeDocument/2006/relationships/hyperlink" Id="rId24" Target="http://uzao.mos.ru" TargetMode="External" /><Relationship Type="http://schemas.openxmlformats.org/officeDocument/2006/relationships/hyperlink" Id="rId23" Target="http://uzao.mos.ru/nash-okrug/prokuror-razyasnyaet/detail/12817519.html" TargetMode="External" /><Relationship Type="http://schemas.openxmlformats.org/officeDocument/2006/relationships/hyperlink" Id="rId21" Target="https://base.garant.ru/70269170/" TargetMode="External" /></Relationships>
</file>

<file path=word/_rels/footnotes.xml.rels><?xml version="1.0" encoding="UTF-8"?><Relationships xmlns="http://schemas.openxmlformats.org/package/2006/relationships"><Relationship Type="http://schemas.openxmlformats.org/officeDocument/2006/relationships/hyperlink" Id="rId22" Target="http://base.garant.ru/411395379/" TargetMode="External" /><Relationship Type="http://schemas.openxmlformats.org/officeDocument/2006/relationships/hyperlink" Id="rId20" Target="http://base.garant.ru/70269170/7b0b2694c79b0eb03134bbdf8fbdbc61/#block_2002" TargetMode="External" /><Relationship Type="http://schemas.openxmlformats.org/officeDocument/2006/relationships/hyperlink" Id="rId24" Target="http://uzao.mos.ru" TargetMode="External" /><Relationship Type="http://schemas.openxmlformats.org/officeDocument/2006/relationships/hyperlink" Id="rId23" Target="http://uzao.mos.ru/nash-okrug/prokuror-razyasnyaet/detail/12817519.html" TargetMode="External" /><Relationship Type="http://schemas.openxmlformats.org/officeDocument/2006/relationships/hyperlink" Id="rId21" Target="https://base.garant.ru/7026917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2025-03-17T23:13:43Z</dcterms:created>
  <dcterms:modified xsi:type="dcterms:W3CDTF">2025-03-17T23:13:43Z</dcterms:modified>
</cp:coreProperties>
</file>

<file path=docProps/custom.xml><?xml version="1.0" encoding="utf-8"?>
<Properties xmlns="http://schemas.openxmlformats.org/officeDocument/2006/custom-properties" xmlns:vt="http://schemas.openxmlformats.org/officeDocument/2006/docPropsVTypes"/>
</file>