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97f4c4ba94d63b3a200f0727b84a71a8b81169e"/>
    <w:p>
      <w:pPr>
        <w:pStyle w:val="Heading3"/>
      </w:pPr>
      <w:r>
        <w:t xml:space="preserve">Прокурор Юго-Западного административного округа г. Москвы разъясняет - ноябрь 2024</w:t>
      </w:r>
    </w:p>
    <w:p>
      <w:pPr>
        <w:pStyle w:val="FirstParagraph"/>
      </w:pPr>
      <w:r>
        <w:t xml:space="preserve">18.11.2024</w:t>
      </w:r>
    </w:p>
    <w:p>
      <w:pPr>
        <w:pStyle w:val="BodyText"/>
      </w:pPr>
      <w:r>
        <w:rPr>
          <w:bCs/>
          <w:b/>
        </w:rPr>
        <w:t xml:space="preserve">1. Об уголовной ответственности за незаконное собирание или распространение сведений о частной жизни лица.</w:t>
      </w:r>
    </w:p>
    <w:p>
      <w:pPr>
        <w:pStyle w:val="BodyText"/>
      </w:pPr>
      <w:r>
        <w:t xml:space="preserve">Статьей 137 Уголовного кодекса Российской Федерации предусмотрена ответственность за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w:t>
      </w:r>
    </w:p>
    <w:p>
      <w:pPr>
        <w:pStyle w:val="BodyText"/>
      </w:pPr>
      <w:r>
        <w:t xml:space="preserve">Как разъяснил Конституционный суд Российской Федерации, в понятие «частная жизнь» включается та область жизнедеятельности человека, которая относится к отдельному лицу, касается только его и не подлежит контролю со стороны общества и государства, если носит непротивоправный характер.</w:t>
      </w:r>
    </w:p>
    <w:p>
      <w:pPr>
        <w:pStyle w:val="BodyText"/>
      </w:pPr>
      <w:r>
        <w:t xml:space="preserve">Соответственно, лишь само лицо вправе определить, какие именно сведения, имеющие отношение к его частной жизни, должны оставаться в тайне, а потому и сбор, хранение, использование и распространение такой информации, не доверенной никому, не допускается без согласия данного лица, как того требует Конституция Российской Федерации.</w:t>
      </w:r>
    </w:p>
    <w:p>
      <w:pPr>
        <w:pStyle w:val="BodyText"/>
      </w:pPr>
      <w:r>
        <w:t xml:space="preserve">Так, к сведениям о частной жизни лица, составляющим его личную семейную тайну, могут быть отнесены фотографии, аудио-, видеозаписи, выписки из медицинских документов и т.д.</w:t>
      </w:r>
    </w:p>
    <w:p>
      <w:pPr>
        <w:pStyle w:val="BodyText"/>
      </w:pPr>
      <w:r>
        <w:t xml:space="preserve">Под собиранием сведений о частной жизни лица понимаются умышленные действия, состоящие в получении этих сведений любым способом, например, путем личного наблюдения, прослушивания, опроса других лиц, в том числе с фиксированием информации аудио-, видео-, фотосредствами, копирования документированных сведений, а также путем похищения или иного их приобретения.</w:t>
      </w:r>
    </w:p>
    <w:p>
      <w:pPr>
        <w:pStyle w:val="BodyText"/>
      </w:pPr>
      <w:r>
        <w:t xml:space="preserve">Распространение сведений о частной жизни лица заключается в сообщении (разглашении) их хотя бы одному лицу в устной, письменной или иной форме и любым способом, а также путем передачи материалов или их размещения в СМИ или сети Интернет в виде фото-, видео- или аудиоматериалов.</w:t>
      </w:r>
    </w:p>
    <w:p>
      <w:pPr>
        <w:pStyle w:val="BodyText"/>
      </w:pPr>
      <w:r>
        <w:t xml:space="preserve">При этом, уголовная ответственность по ст. 137 УК РФ наступает за указанные действия, совершенные без разрешения лица и при отсутствии предусмотренных Уголовно-процессуальным кодексом Российской Федерации и другими федеральными законами оснований для получения, использования, предоставления сведений о частной жизни граждан без их согласия.</w:t>
      </w:r>
    </w:p>
    <w:p>
      <w:pPr>
        <w:pStyle w:val="BodyText"/>
      </w:pPr>
      <w:r>
        <w:t xml:space="preserve">Не может повлечь уголовную ответственность собирание или распространение таких сведений в государственных, общественных или иных публичных интересах, а также в случаях, если сведения о частной жизни гражданина ранее стали общедоступными либо были преданы огласке самим гражданином или по его воле.</w:t>
      </w:r>
    </w:p>
    <w:p>
      <w:pPr>
        <w:pStyle w:val="BodyText"/>
      </w:pPr>
      <w:r>
        <w:t xml:space="preserve">За совершение указанного преступления предусмотрена уголовная ответственность в виде штрафа до двухсот тысяч рублей, обязательных работ на срок до трехсот шестидесяти часов, исправительных работ на срок до одного года, принудительных работ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лишения свободы с лишением права занимать определенные должности или заниматься определенной деятельностью на те же сроки.</w:t>
      </w:r>
    </w:p>
    <w:p>
      <w:pPr>
        <w:pStyle w:val="BodyText"/>
      </w:pPr>
      <w:r>
        <w:t xml:space="preserve">Частями второй и третьей статьи 137 УК РФ установлена повышенная ответственность за данное деяние, совершенное лицом с использованием своего служебного положения, а также в форме незаконного распространения в публичном выступлении, публично демонстрирующемся произведении, в СМИ или сети Интернет информации, указывающей на личность несовершеннолетнего потерпевшего, не достигшего 16-летнего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w:t>
      </w:r>
    </w:p>
    <w:p>
      <w:pPr>
        <w:pStyle w:val="BodyText"/>
      </w:pPr>
      <w:r>
        <w:t xml:space="preserve">Максимальное наказание по ч. 3 ст. 137 УК РФ предусмотрено в виде пяти лет лишения свободы с лишением права занимать определенные должности или заниматься определенной деятельностью на срок до шести лет.</w:t>
      </w:r>
    </w:p>
    <w:p>
      <w:pPr>
        <w:pStyle w:val="BodyText"/>
      </w:pPr>
      <w:r>
        <w:rPr>
          <w:bCs/>
          <w:b/>
        </w:rPr>
        <w:t xml:space="preserve">2. О замене отпуска денежной компенсацией</w:t>
      </w:r>
    </w:p>
    <w:p>
      <w:pPr>
        <w:pStyle w:val="BodyText"/>
      </w:pPr>
      <w:r>
        <w:t xml:space="preserve">Согласно статье 2 Трудового кодекса РФ основной оплачиваемый отпуск предоставляется работникам ежегодно в целях обеспечения их права на отдых.</w:t>
      </w:r>
    </w:p>
    <w:p>
      <w:pPr>
        <w:pStyle w:val="BodyText"/>
      </w:pPr>
      <w:r>
        <w:t xml:space="preserve">Продолжительность этого отдыха не может быть менее 28 календарных дней.</w:t>
      </w:r>
    </w:p>
    <w:p>
      <w:pPr>
        <w:pStyle w:val="BodyText"/>
      </w:pPr>
      <w:r>
        <w:t xml:space="preserve">Перенесение отпуска на следующий рабочий год допускается лишь в исключительных случаях, когда предоставление отпуска в текущем году может неблагоприятно отразиться на нормальном ходе работы организации (ч. 3 ст. 124 ТК РФ).</w:t>
      </w:r>
    </w:p>
    <w:p>
      <w:pPr>
        <w:pStyle w:val="BodyText"/>
      </w:pPr>
      <w:r>
        <w:t xml:space="preserve">Статья 126 Трудового кодекса РФ предусматривает замену ежегодного оплачиваемого отпуска денежной компенсацией. 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законом.</w:t>
      </w:r>
    </w:p>
    <w:p>
      <w:pPr>
        <w:pStyle w:val="BodyText"/>
      </w:pPr>
      <w: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pPr>
        <w:pStyle w:val="BodyText"/>
      </w:pPr>
      <w:r>
        <w:t xml:space="preserve">В соответствии с частью 3 статьи 126 ТК РФ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лицам в возрасте до 18 лет.</w:t>
      </w:r>
    </w:p>
    <w:p>
      <w:pPr>
        <w:pStyle w:val="BodyText"/>
      </w:pPr>
      <w:r>
        <w:t xml:space="preserve">Кроме того, нельзя заменить денежной компенсацией ежегодный дополнительный оплачиваемый отпуск, предоставляемый работникам, которые заняты на работах с вредными и (или) опасными условиями труда. Исключением являются выплаты денежной компенсации за неиспользованный отпуск при увольнении, а также за часть ежегодного дополнительного оплачиваемого отпуска, превышающую его минимальную продолжительность - 7 календарных дней.</w:t>
      </w:r>
    </w:p>
    <w:p>
      <w:pPr>
        <w:pStyle w:val="BodyText"/>
      </w:pPr>
      <w:r>
        <w:t xml:space="preserve">Не подлежит компенсации неиспользованный ежегодный дополнительный оплачиваемый отпуск, предоставляемый работнику на основании п. 5 ст. 14 Закона РФ «О социальной защите граждан, подвергшихся воздействию радиации вследствие катастрофы на Чернобыльской АЭС», поскольку законом не предусмотрена возможность такой компенсации</w:t>
      </w:r>
    </w:p>
    <w:p>
      <w:pPr>
        <w:pStyle w:val="BodyText"/>
      </w:pPr>
      <w:r>
        <w:rPr>
          <w:bCs/>
          <w:b/>
        </w:rPr>
        <w:t xml:space="preserve">3. Быть посредником мошенников – значит нарушать нормы уголовного закона!</w:t>
      </w:r>
    </w:p>
    <w:p>
      <w:pPr>
        <w:pStyle w:val="BodyText"/>
      </w:pPr>
      <w:r>
        <w:t xml:space="preserve">В настоящее время злоумышленники активно вовлекают граждан в свои преступные схемы, обещая высокодоходные заработки и удобный рабочий график. Для достижения своих корыстных целей, мошенники просят продать им свои банковские карты, забрать посылку или денежные средства, открыть банковские счета и переводить поступающие на них денежные средства и так далее.</w:t>
      </w:r>
    </w:p>
    <w:p>
      <w:pPr>
        <w:pStyle w:val="BodyText"/>
      </w:pPr>
      <w:r>
        <w:t xml:space="preserve">Граждане, участвующие в одной из указанных выше схем, являются дропперами (от англ. to drop - бросать), то есть посредниками злоумышленников. Не верьте, что данные способы заработка являются безопасными! Посредник несет за свои действия как гражданско-правовую, так и уголовную ответственность!</w:t>
      </w:r>
    </w:p>
    <w:p>
      <w:pPr>
        <w:pStyle w:val="BodyText"/>
      </w:pPr>
      <w:r>
        <w:t xml:space="preserve">Если Вам поступило предложение легкого заработка, в том числе в сети «Интернет», обратитесь в правоохранительные органы! Помните, что участие в преступной схеме всегда изобличается правоохранительными органами.</w:t>
      </w:r>
    </w:p>
    <w:p>
      <w:pPr>
        <w:pStyle w:val="BodyText"/>
      </w:pPr>
      <w:r>
        <w:t xml:space="preserve">Прокуратура административного округа разъясняет, что мошенничество, совершенное группой лиц по предварительному сговору, а равно с причинением значительного ущерба гражданину (ч. 2 ст. 159 УК РФ) наказывается:</w:t>
      </w:r>
    </w:p>
    <w:p>
      <w:pPr>
        <w:pStyle w:val="BodyText"/>
      </w:pPr>
      <w:r>
        <w:t xml:space="preserve">- штрафом в размере до 300 тысяч рублей или в размере заработной платы или иного дохода осужденного за период до двух лет,</w:t>
      </w:r>
    </w:p>
    <w:p>
      <w:pPr>
        <w:pStyle w:val="BodyText"/>
      </w:pPr>
      <w:r>
        <w:t xml:space="preserve">- обязательными работами на срок до четырехсот восьмидесяти часов,</w:t>
      </w:r>
    </w:p>
    <w:p>
      <w:pPr>
        <w:pStyle w:val="BodyText"/>
      </w:pPr>
      <w:r>
        <w:t xml:space="preserve">- исправительными работами на срок до 2 лет,</w:t>
      </w:r>
    </w:p>
    <w:p>
      <w:pPr>
        <w:pStyle w:val="BodyText"/>
      </w:pPr>
      <w:r>
        <w:t xml:space="preserve">- принудительными работами на срок до 5 лет,</w:t>
      </w:r>
    </w:p>
    <w:p>
      <w:pPr>
        <w:pStyle w:val="BodyText"/>
      </w:pPr>
      <w:r>
        <w:t xml:space="preserve">- лишением свободы на срок до 5 лет.</w:t>
      </w:r>
    </w:p>
    <w:p>
      <w:pPr>
        <w:pStyle w:val="BodyText"/>
      </w:pPr>
      <w:r>
        <w:t xml:space="preserve">Возможно также применение наказания с ограничением свободы на срок до одного года.</w:t>
      </w:r>
    </w:p>
    <w:p>
      <w:pPr>
        <w:pStyle w:val="BodyText"/>
      </w:pPr>
      <w:r>
        <w:rPr>
          <w:bCs/>
          <w:b/>
        </w:rPr>
        <w:t xml:space="preserve">4. С 2025 года в Российской Федерации появится институт наставничества в сфере безнадзорности и правонарушений несовершеннолетних</w:t>
      </w:r>
    </w:p>
    <w:p>
      <w:pPr>
        <w:pStyle w:val="BodyText"/>
      </w:pPr>
      <w:r>
        <w:t xml:space="preserve">Федеральный законом от 08.08.2024 № 322-ФЗ «О внесении изменений в отдельные законодательные акты Российской Федерации» вводится институт наставничества в сфере профилактики и правонарушений несовершеннолетних.</w:t>
      </w:r>
    </w:p>
    <w:p>
      <w:pPr>
        <w:pStyle w:val="BodyText"/>
      </w:pPr>
      <w:r>
        <w:t xml:space="preserve">Закон предусматривает:</w:t>
      </w:r>
    </w:p>
    <w:p>
      <w:pPr>
        <w:pStyle w:val="BodyText"/>
      </w:pPr>
      <w:r>
        <w:t xml:space="preserve">• создание государственной информационной системы профилактики безнадзорности и правонарушений несовершеннолетних;</w:t>
      </w:r>
    </w:p>
    <w:p>
      <w:pPr>
        <w:pStyle w:val="BodyText"/>
      </w:pPr>
      <w:r>
        <w:t xml:space="preserve">• введение института наставничества в указанной сфере;</w:t>
      </w:r>
    </w:p>
    <w:p>
      <w:pPr>
        <w:pStyle w:val="BodyText"/>
      </w:pPr>
      <w:r>
        <w:t xml:space="preserve">• формирование реестра наставников;</w:t>
      </w:r>
    </w:p>
    <w:p>
      <w:pPr>
        <w:pStyle w:val="BodyText"/>
      </w:pPr>
      <w:r>
        <w:t xml:space="preserve">• запрет на участие иноагентов в деятельности по профилактике безнадзорности и правонарушений несовершеннолетних;</w:t>
      </w:r>
    </w:p>
    <w:p>
      <w:pPr>
        <w:pStyle w:val="BodyText"/>
      </w:pPr>
      <w:r>
        <w:t xml:space="preserve">• использование единой информационной системы в сфере развития добровольчества (волонтерства) в целях профилактики безнадзорности и правонарушений несовершеннолетних</w:t>
      </w:r>
    </w:p>
    <w:p>
      <w:pPr>
        <w:pStyle w:val="BodyText"/>
      </w:pPr>
      <w:r>
        <w:t xml:space="preserve">В новую государственную информационную систему вносятся сведения о несовершеннолетних, находящихся в трудной жизненной ситуации, социально опасном положении, нуждающихся в индивидуальной профилактической работе, и их родителях или иных законных представителях.</w:t>
      </w:r>
    </w:p>
    <w:p>
      <w:pPr>
        <w:pStyle w:val="BodyText"/>
      </w:pPr>
      <w:r>
        <w:t xml:space="preserve">В реестр наставников включаются граждане Российской Федерации, прошедшие подготовку в порядке, установленном федеральным органом исполнительной власти в сфере образования, а также педагогические и социальные работники. Наставников назначает комиссия по делам несовершеннолетних и защите их прав с согласия несовершеннолетнего и его родителей.</w:t>
      </w:r>
    </w:p>
    <w:p>
      <w:pPr>
        <w:pStyle w:val="BodyText"/>
      </w:pPr>
      <w:r>
        <w:t xml:space="preserve">Закон вступит в силу с 5 февраля 2025 года.</w:t>
      </w:r>
    </w:p>
    <w:p>
      <w:pPr>
        <w:pStyle w:val="BodyText"/>
      </w:pPr>
      <w:r>
        <w:rPr>
          <w:bCs/>
          <w:b/>
        </w:rPr>
        <w:t xml:space="preserve">5. Драка в школе – безобидная шалость или событие, влекущее юридически значимые последствия?</w:t>
      </w:r>
    </w:p>
    <w:p>
      <w:pPr>
        <w:pStyle w:val="BodyText"/>
      </w:pPr>
      <w:r>
        <w:t xml:space="preserve">В соответствии с законодательством об образовании контроль за соблюдением правил внутреннего распорядка,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BodyText"/>
      </w:pPr>
      <w:r>
        <w:t xml:space="preserve">За неисполнение, нарушение правил, в том числе требований к дисциплине на учебных занятиях и правилам поведения в такой организации, к обучающимся могут быть применены меры дисциплинарного взыскания:</w:t>
      </w:r>
    </w:p>
    <w:p>
      <w:pPr>
        <w:pStyle w:val="BodyText"/>
      </w:pPr>
      <w:r>
        <w:t xml:space="preserve">– замечание;</w:t>
      </w:r>
    </w:p>
    <w:p>
      <w:pPr>
        <w:pStyle w:val="BodyText"/>
      </w:pPr>
      <w:r>
        <w:t xml:space="preserve">– выговор;</w:t>
      </w:r>
    </w:p>
    <w:p>
      <w:pPr>
        <w:pStyle w:val="BodyText"/>
      </w:pPr>
      <w:r>
        <w:t xml:space="preserve">– отчисление из организации, осуществляющей образовательную деятельность (за неоднократное совершение дисциплинарных проступков, применяется в отношении обучающегося, достигшего 15-летнего возраста).</w:t>
      </w:r>
    </w:p>
    <w:p>
      <w:pPr>
        <w:pStyle w:val="BodyText"/>
      </w:pPr>
      <w:r>
        <w:t xml:space="preserve">Несмотря на то, что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образовательными организациями в целях индивидуальной профилактической работы ведется персонифицированный учет несовершеннолетних обучающихся с девиантным поведением.</w:t>
      </w:r>
    </w:p>
    <w:p>
      <w:pPr>
        <w:pStyle w:val="BodyText"/>
      </w:pPr>
      <w:r>
        <w:t xml:space="preserve">Вопрос о постановке на внутришкольный учет обучающихся решается индивидуально представителями образовательной организации на основании ее локальных нормативных актов.</w:t>
      </w:r>
    </w:p>
    <w:p>
      <w:pPr>
        <w:pStyle w:val="BodyText"/>
      </w:pPr>
      <w:r>
        <w:t xml:space="preserve">Законом предусмотрены обстоятельства, влекущие проведение индивидуальной профилактической работы в отношении несовершеннолетнего. Например,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pPr>
        <w:pStyle w:val="BodyText"/>
      </w:pPr>
      <w:r>
        <w:t xml:space="preserve">Кроме того, за неисполнение, ненадлежащее исполнение установленных законом обязанностей родители (законные представители) несовершеннолетних обучающихся несут ответственность:</w:t>
      </w:r>
    </w:p>
    <w:p>
      <w:pPr>
        <w:pStyle w:val="BodyText"/>
      </w:pPr>
      <w:r>
        <w:t xml:space="preserve">– гражданско-правовую (за причинение ущерба несовершеннолетним);</w:t>
      </w:r>
    </w:p>
    <w:p>
      <w:pPr>
        <w:pStyle w:val="BodyText"/>
      </w:pPr>
      <w:r>
        <w:t xml:space="preserve">– административную (например, ст. 5.35 КоАП РФ – неисполнение родителями или иными законными представителями несовершеннолетних обязанностей по содержанию и воспитанию несовершеннолетних, влечет наказание вплоть до административного ареста на срок до 5 суток);</w:t>
      </w:r>
    </w:p>
    <w:p>
      <w:pPr>
        <w:pStyle w:val="BodyText"/>
      </w:pPr>
      <w:r>
        <w:t xml:space="preserve">– уголовную (к примеру, ст. 156 УК РФ – неисполнение обязанностей по воспитанию несовершеннолетнего, влечет наказание вплоть до лишения свободы на срок до 3 лет).</w:t>
      </w:r>
    </w:p>
    <w:p>
      <w:pPr>
        <w:pStyle w:val="BodyText"/>
      </w:pPr>
      <w:r>
        <w:t xml:space="preserve">Административная и уголовная ответственность для несовершеннолетних наступает с 16-летнего возраста. А по отдельным преступлениям (например, за умышленное причинение средней тяжести вреда здоровью) - по достижении ко времени совершения преступления 14-летнего возраста.</w:t>
      </w:r>
    </w:p>
    <w:p>
      <w:pPr>
        <w:pStyle w:val="BodyText"/>
      </w:pPr>
      <w:r>
        <w:t xml:space="preserve">6.</w:t>
      </w:r>
      <w:r>
        <w:t xml:space="preserve"> </w:t>
      </w:r>
      <w:r>
        <w:rPr>
          <w:bCs/>
          <w:b/>
        </w:rPr>
        <w:t xml:space="preserve">В Трудовой кодекс внесены изменения, регулирующие систему оплаты неиспользованных дней отдыха при увольнении.</w:t>
      </w:r>
    </w:p>
    <w:p>
      <w:pPr>
        <w:pStyle w:val="BodyText"/>
      </w:pPr>
      <w:r>
        <w:t xml:space="preserve">Федеральным законом от 30.09.2024 № 339-ФЗ внесены изменения в статью 153 Трудового кодекса Российской Федерации.</w:t>
      </w:r>
    </w:p>
    <w:p>
      <w:pPr>
        <w:pStyle w:val="BodyText"/>
      </w:pPr>
      <w:r>
        <w:t xml:space="preserve">Согласно нововведениям день отдыха за работу в выходной или нерабочий праздничный день по желанию работника может быть использован в течение 1 года со дня работы в выходной или праздничный день либо присоединен к отпуску, предоставляемому в указанный период.</w:t>
      </w:r>
    </w:p>
    <w:p>
      <w:pPr>
        <w:pStyle w:val="BodyText"/>
      </w:pPr>
      <w:r>
        <w:t xml:space="preserve">В случае, если на день увольнения работника имеется неиспользованный им в период трудовой деятельности у работодателя день отдыха за работу в выходной или нерабочий праздничный день, в день увольнения такому работнику выплачивается разница между полагавшейся ему оплатой работы в выходной или нерабочий праздничный день и фактически произведенной оплатой работы в этот день.</w:t>
      </w:r>
    </w:p>
    <w:p>
      <w:pPr>
        <w:pStyle w:val="BodyText"/>
      </w:pPr>
      <w:r>
        <w:t xml:space="preserve">Указанная разница выплачивается за все дни отдыха за работу в выходные или нерабочие праздничные дни, неиспользованные работником в период трудовой деятельности у работодателя.</w:t>
      </w:r>
    </w:p>
    <w:p>
      <w:pPr>
        <w:pStyle w:val="BodyText"/>
      </w:pPr>
      <w:r>
        <w:t xml:space="preserve">Федеральный закон вступает в силу с 1 марта 2025 года.</w:t>
      </w:r>
    </w:p>
    <w:p>
      <w:pPr>
        <w:pStyle w:val="BodyText"/>
      </w:pPr>
      <w:r>
        <w:t xml:space="preserve">7.</w:t>
      </w:r>
      <w:r>
        <w:t xml:space="preserve"> </w:t>
      </w:r>
      <w:r>
        <w:rPr>
          <w:bCs/>
          <w:b/>
        </w:rPr>
        <w:t xml:space="preserve">Об спаривании бездействия судебного пристава</w:t>
      </w:r>
    </w:p>
    <w:p>
      <w:pPr>
        <w:pStyle w:val="BodyText"/>
      </w:pPr>
      <w:r>
        <w:t xml:space="preserve">В соответствии со статьей 121 Федерального закона № 229-ФЗ «Об исполнительном производстве» постановления Федеральной службы судебных приставов (ФССП), а также постановления судебного пристава-исполнителя и других должностных лиц службы судебных приставов, их действия (бездействие) по исполнению исполнительного документа могут быть обжалованы сторонами исполнительного производства, иными лицами, чьи права и интересы нарушены такими действиями (бездействием), в порядке подчиненности и оспорены в суде.</w:t>
      </w:r>
    </w:p>
    <w:p>
      <w:pPr>
        <w:pStyle w:val="BodyText"/>
      </w:pPr>
      <w:r>
        <w:t xml:space="preserve">Такая жалоба подается в течение 10 дней со дня вынесения ФССП, судебным приставомв-исполнителем или иным должностным лицом постановления, совершения действия, установления факта его бездействия либо отказа в отводе.</w:t>
      </w:r>
    </w:p>
    <w:p>
      <w:pPr>
        <w:pStyle w:val="BodyText"/>
      </w:pPr>
      <w:r>
        <w:t xml:space="preserve">Лицом, не извещенным о времени и месте совершения действий, жалоба подается в течение 10 дней со дня, когда это лицо узнало или должно было узнать о вынесении постановления, совершении действий (бездействии).</w:t>
      </w:r>
    </w:p>
    <w:p>
      <w:pPr>
        <w:pStyle w:val="BodyText"/>
      </w:pPr>
      <w:r>
        <w:t xml:space="preserve">Жалоба на действия или бездействие должностных лиц службы судебных приставов может быть подана непосредственно вышестоящему должностному лицу ФССП:</w:t>
      </w:r>
    </w:p>
    <w:p>
      <w:pPr>
        <w:pStyle w:val="BodyText"/>
      </w:pPr>
      <w:r>
        <w:t xml:space="preserve">- на судебного пристава-исполнителя - начальнику отделения судебных приставов-исполнителей,</w:t>
      </w:r>
    </w:p>
    <w:p>
      <w:pPr>
        <w:pStyle w:val="BodyText"/>
      </w:pPr>
      <w:r>
        <w:t xml:space="preserve">- на начальника отделения - руководителю органов ФССП по субъекту Российской Федерации.</w:t>
      </w:r>
    </w:p>
    <w:p>
      <w:pPr>
        <w:pStyle w:val="BodyText"/>
      </w:pPr>
      <w:r>
        <w:t xml:space="preserve">Кроме того, постановления должностного лица службы судебных приставов, его действия (бездействие) могут быть оспорены в арбитражном суде либо суде общей юрисдикции в nopядке, установленном законом.</w:t>
      </w:r>
    </w:p>
    <w:p>
      <w:pPr>
        <w:pStyle w:val="BodyText"/>
      </w:pPr>
      <w:r>
        <w:t xml:space="preserve">8.</w:t>
      </w:r>
      <w:r>
        <w:t xml:space="preserve"> </w:t>
      </w:r>
      <w:r>
        <w:rPr>
          <w:bCs/>
          <w:b/>
        </w:rPr>
        <w:t xml:space="preserve">Увеличены размеры госпошлины при обращении в суд</w:t>
      </w:r>
    </w:p>
    <w:p>
      <w:pPr>
        <w:pStyle w:val="BodyText"/>
      </w:pPr>
      <w:r>
        <w:t xml:space="preserve">С 8 сентября 2024 года значительно увеличены размеры государственной пошлины при подаче в арбитражные суды и суды общей юрисдикции имущественных исков. Аналогичные изменения коснулись пошлин по заявлениям о признании незаконными решений государственных органов, по жалобам в вышестоящие инстанции и пр.</w:t>
      </w:r>
    </w:p>
    <w:p>
      <w:pPr>
        <w:pStyle w:val="BodyText"/>
      </w:pPr>
      <w:r>
        <w:t xml:space="preserve">Федеральным законом от 08.08.2024 № 259-ФЗ внесены соответствующие изменения в части первую и вторую Налогового кодекса РФ и отдельные законодательные акты Российской Федерации о налогах и сборах.</w:t>
      </w:r>
    </w:p>
    <w:p>
      <w:pPr>
        <w:pStyle w:val="BodyText"/>
      </w:pPr>
      <w:r>
        <w:t xml:space="preserve">Так, при предъявлении иска в арбитражный суд, к примеру, на 500 тыс. руб., придется заплатить 30 тыс. руб. вместо 13 тыс. руб.</w:t>
      </w:r>
    </w:p>
    <w:p>
      <w:pPr>
        <w:pStyle w:val="BodyText"/>
      </w:pPr>
      <w:r>
        <w:t xml:space="preserve">При обращении с иском, который не нужно оценивать, юридическое лицо обязано оплатить госпошлину в размере 50 тыс. руб.</w:t>
      </w:r>
    </w:p>
    <w:p>
      <w:pPr>
        <w:pStyle w:val="BodyText"/>
      </w:pPr>
      <w:r>
        <w:t xml:space="preserve">В случае направления компанией в арбитражный суд заявления о признании незаконными решений и действий (бездействия) органов власти либо должностных лиц, госпошлина составит 50 тыс. руб. (действующая госпошлина - 3000 руб.), госпошлина за подачу административного иска - 15 тыс. руб. (вместо 2000 руб.).</w:t>
      </w:r>
    </w:p>
    <w:p>
      <w:pPr>
        <w:pStyle w:val="BodyText"/>
      </w:pPr>
      <w:r>
        <w:t xml:space="preserve">Чтобы обратиться с заявлением о признании должника банкротом, юридическому лицу придется внести 100 тыс. руб.</w:t>
      </w:r>
    </w:p>
    <w:p>
      <w:pPr>
        <w:pStyle w:val="BodyText"/>
      </w:pPr>
      <w:r>
        <w:t xml:space="preserve">По заявлениям и требованиям в рамках обособленных споров будет установлен платеж в размере половины от госпошлины, которая определяется заявленными требованиями.</w:t>
      </w:r>
    </w:p>
    <w:p>
      <w:pPr>
        <w:pStyle w:val="BodyText"/>
      </w:pPr>
      <w:r>
        <w:t xml:space="preserve">Размеры госпошлины при подаче имущественных исков в порядке ГПК РФ и КАС РФ, которые подлежат оценке, также изменятся.</w:t>
      </w:r>
    </w:p>
    <w:p>
      <w:pPr>
        <w:pStyle w:val="BodyText"/>
      </w:pPr>
      <w:r>
        <w:t xml:space="preserve">При цене иска свыше 200 тыс. руб. до 1 млн. руб. включительно платеж составит 5 200 руб. плюс 1% от суммы свыше 200 тыс руб.</w:t>
      </w:r>
    </w:p>
    <w:p>
      <w:pPr>
        <w:pStyle w:val="BodyText"/>
      </w:pPr>
      <w:r>
        <w:t xml:space="preserve">В случае обжалования в вышестоящий арбитражный суд юридическим лицом состоявшихся по делу судебных постановлений, государственная пошлина составит:</w:t>
      </w:r>
    </w:p>
    <w:p>
      <w:pPr>
        <w:pStyle w:val="BodyText"/>
      </w:pPr>
      <w:r>
        <w:t xml:space="preserve">• 30 тыс. руб. - при подаче апелляционной жалобы или кассационной жалобы на судебный приказ;</w:t>
      </w:r>
    </w:p>
    <w:p>
      <w:pPr>
        <w:pStyle w:val="BodyText"/>
      </w:pPr>
      <w:r>
        <w:t xml:space="preserve">• 50 тыс. руб. - при подаче иной кассационной жалобы и жалобы в Верховный Суд Российской Федерации;</w:t>
      </w:r>
    </w:p>
    <w:p>
      <w:pPr>
        <w:pStyle w:val="BodyText"/>
      </w:pPr>
      <w:r>
        <w:t xml:space="preserve">• 80 тыс. руб. - при подаче кассационной либо надзорной жалобы в Верховный Суд Российской Федерации.</w:t>
      </w:r>
    </w:p>
    <w:p>
      <w:pPr>
        <w:pStyle w:val="BodyText"/>
      </w:pPr>
      <w:r>
        <w:t xml:space="preserve">При обжаловании решений в гражданском и административном порядке, размер госпошлины для юридического лица составит:</w:t>
      </w:r>
    </w:p>
    <w:p>
      <w:pPr>
        <w:pStyle w:val="BodyText"/>
      </w:pPr>
      <w:r>
        <w:t xml:space="preserve">-15 тыс. руб. - при подаче апелляционной жалобы, частной жалобы или кассационной жалобы на судебный приказ;</w:t>
      </w:r>
    </w:p>
    <w:p>
      <w:pPr>
        <w:pStyle w:val="BodyText"/>
      </w:pPr>
      <w:r>
        <w:t xml:space="preserve">- 20 тыс. руб. - при подаче иной кассационной жалобы и жалобы в Верховный Суд Российской Федерации;</w:t>
      </w:r>
    </w:p>
    <w:p>
      <w:pPr>
        <w:pStyle w:val="BodyText"/>
      </w:pPr>
      <w:r>
        <w:t xml:space="preserve">- 25 тыс. руб. - при подаче, например, кассационной либо надзорной жалобы в Верховный Суд Российской Федерации.</w:t>
      </w:r>
    </w:p>
    <w:p>
      <w:pPr>
        <w:pStyle w:val="BodyText"/>
      </w:pPr>
      <w:r>
        <w:t xml:space="preserve">9.</w:t>
      </w:r>
      <w:r>
        <w:t xml:space="preserve"> </w:t>
      </w:r>
      <w:r>
        <w:rPr>
          <w:bCs/>
          <w:b/>
        </w:rPr>
        <w:t xml:space="preserve">Специализированный реестр о должниках по алиментным обязательствам</w:t>
      </w:r>
    </w:p>
    <w:p>
      <w:pPr>
        <w:pStyle w:val="BodyText"/>
      </w:pPr>
      <w:r>
        <w:t xml:space="preserve">Федеральным законом от 29.05.2024 № 114-ФЗ «О внесении изменений в Федеральный закон «Об исполнительном производстве» предусмотрено, что сведения о должниках по алиментным обязательствам включаются в специализированный реестр.</w:t>
      </w:r>
    </w:p>
    <w:p>
      <w:pPr>
        <w:pStyle w:val="BodyText"/>
      </w:pPr>
      <w:r>
        <w:t xml:space="preserve">Речь идет о должниках по алиментным обязательствам, привлеченных к административной, уголовной ответственности за неуплату средств на содержание несовершеннолетних детей или нетрудоспособных детей, достигших 18-летнего возраста, либо нетрудоспособных родителей и (или) объявленных судебным приставом-исполнителем в розыск.</w:t>
      </w:r>
    </w:p>
    <w:p>
      <w:pPr>
        <w:pStyle w:val="BodyText"/>
      </w:pPr>
      <w:r>
        <w:t xml:space="preserve">Реестр будет являться составной частью банка данных в исполнительном производстве, содержащем сведения, необходимые для осуществления задач по принудительному исполнению судебных актов, актов других органов и должностных лиц.</w:t>
      </w:r>
    </w:p>
    <w:p>
      <w:pPr>
        <w:pStyle w:val="BodyText"/>
      </w:pPr>
      <w:r>
        <w:t xml:space="preserve">Сведения по исполнительным производствам, должники по которым включены в реестр должников по алиментным обязательствам, являются общедоступными до их исключения из указанного реестра в связи с полным погашением задолженности или по другим основаниям, установленным в соответствии с порядком создания и ведения банка данных.</w:t>
      </w:r>
    </w:p>
    <w:p>
      <w:pPr>
        <w:pStyle w:val="BodyText"/>
      </w:pPr>
      <w:r>
        <w:t xml:space="preserve">Также предусматривается, что в целях получения актуальной информации о трудоустройстве должника ФССП России может запрашивать в автоматическом режиме соответствующую информацию у органов государственной власти, иных органов, государственных внебюджетных фондов, организаций с использованием единой системы межведомственного электронного взаимодействия.</w:t>
      </w:r>
    </w:p>
    <w:p>
      <w:pPr>
        <w:pStyle w:val="BodyText"/>
      </w:pPr>
      <w:r>
        <w:t xml:space="preserve">10.</w:t>
      </w:r>
      <w:r>
        <w:t xml:space="preserve"> </w:t>
      </w:r>
      <w:r>
        <w:rPr>
          <w:bCs/>
          <w:b/>
        </w:rPr>
        <w:t xml:space="preserve">Об ответственности за мошенничество в сфере компьютерной информации</w:t>
      </w:r>
    </w:p>
    <w:p>
      <w:pPr>
        <w:pStyle w:val="BodyText"/>
      </w:pPr>
      <w:r>
        <w:t xml:space="preserve">В Российской Федерации последние годы отмечается существенный рост преступлений в сфере компьютерной информации и деяний, совершенных с использованием информационных технологий.</w:t>
      </w:r>
    </w:p>
    <w:p>
      <w:pPr>
        <w:pStyle w:val="BodyText"/>
      </w:pPr>
      <w:r>
        <w:t xml:space="preserve">Преступники достаточно часто осуществляют неправомерное воздействие на абонентские базы данных операторов мобильной связи, интернет-провайдеров либо банковские или служебные базы данных, нарушая правила эксплуатации информационных систем, правила доступа к информационным системам, что влечет причинение вреда критической информационной инфраструктуре Российской Федерации.</w:t>
      </w:r>
    </w:p>
    <w:p>
      <w:pPr>
        <w:pStyle w:val="BodyText"/>
      </w:pPr>
      <w:r>
        <w:t xml:space="preserve">Ответственность за неправомерное воздействие на объекты критической информационной инфраструктуры Российской Федерации предусмотрена ст. 274.1 УК РФ и содержит несколько самостоятельных форм преступного посягательства, а именно:</w:t>
      </w:r>
    </w:p>
    <w:p>
      <w:pPr>
        <w:pStyle w:val="BodyText"/>
      </w:pPr>
      <w:r>
        <w:t xml:space="preserve">-создание, распространение, использование вредоносных компьютерных программ влечет лишение свободы от двух до пяти лет со штрафом;</w:t>
      </w:r>
    </w:p>
    <w:p>
      <w:pPr>
        <w:pStyle w:val="BodyText"/>
      </w:pPr>
      <w:r>
        <w:t xml:space="preserve">-неправомерный доступ к компьютерной информации наказывается лишением свободы на срок от двух до шести лет со штрафом;</w:t>
      </w:r>
    </w:p>
    <w:p>
      <w:pPr>
        <w:pStyle w:val="BodyText"/>
      </w:pPr>
      <w:r>
        <w:t xml:space="preserve">-нарушение правил эксплуатации средств хранения, обработки или передачи информации, которые посягают на общественные отношения в сфере безопасного функционирования компьютерной информации, средств хранения, обработки или передачи такой информации влечет лишение свободы на срок до шести лет.</w:t>
      </w:r>
    </w:p>
    <w:p>
      <w:pPr>
        <w:pStyle w:val="BodyText"/>
      </w:pPr>
      <w:r>
        <w:t xml:space="preserve">Возможно лишение права занимать определенные должности или заниматься определенной деятельностью на срок до трех лет. Более суровое наказание предусмотрено, если деяния повлекли тяжкие последствия.</w:t>
      </w:r>
    </w:p>
    <w:p>
      <w:pPr>
        <w:pStyle w:val="BodyText"/>
      </w:pPr>
      <w:r>
        <w:t xml:space="preserve">При этом стоит отметить, что преступления, совершаемые с использованием информационно-телекоммуникационных технологий, имеют ряд особенностей:</w:t>
      </w:r>
    </w:p>
    <w:p>
      <w:pPr>
        <w:pStyle w:val="BodyText"/>
      </w:pPr>
      <w:r>
        <w:t xml:space="preserve">1 не происходит физического контакта между злоумышленником и жертвой;</w:t>
      </w:r>
    </w:p>
    <w:p>
      <w:pPr>
        <w:pStyle w:val="BodyText"/>
      </w:pPr>
      <w:r>
        <w:t xml:space="preserve">2 большинство следов данного рода преступлений носит "цифровой" характер, используются специальные программы, в том числе и программы на основе искусственного интеллекта (например, использование чат-ботов для разработки и проведения фишинговых кампаний, обнаружения и использования уязвимости, проведения хакерских атак, создания и распространения вредоносных программ);</w:t>
      </w:r>
    </w:p>
    <w:p>
      <w:pPr>
        <w:pStyle w:val="BodyText"/>
      </w:pPr>
      <w:r>
        <w:t xml:space="preserve">3 при совершении таких преступлений злоумышленниками учитывается и эксплуатируется особенность человеческого характера;</w:t>
      </w:r>
    </w:p>
    <w:p>
      <w:pPr>
        <w:pStyle w:val="BodyText"/>
      </w:pPr>
      <w:r>
        <w:t xml:space="preserve">4 преступления и правонарушения, носят латентный характер, так как пострадавшие не обращаются с заявлениями в правоохранительные органы;</w:t>
      </w:r>
    </w:p>
    <w:p>
      <w:pPr>
        <w:pStyle w:val="BodyText"/>
      </w:pPr>
      <w:r>
        <w:t xml:space="preserve">5 эти преступления совершаются, как правило, по определенным схемам, однако эти схемы систематически видоизменяются;</w:t>
      </w:r>
    </w:p>
    <w:p>
      <w:pPr>
        <w:pStyle w:val="BodyText"/>
      </w:pPr>
      <w:r>
        <w:t xml:space="preserve">6 отсутствуют территориальные ограничения в совершении данного вида преступлений.</w:t>
      </w:r>
    </w:p>
    <w:p>
      <w:pPr>
        <w:pStyle w:val="BodyText"/>
      </w:pPr>
      <w:r>
        <w:t xml:space="preserve">Специфика этого преступления заключается в том, что обман перенесен в виртуальный мир, в сферу компьютерной информации и заключается в совершении следующих неправомерных действий (операций), который приводит к хищению чужого имущества или приобретению права на чужое имущество:</w:t>
      </w:r>
    </w:p>
    <w:p>
      <w:pPr>
        <w:pStyle w:val="BodyText"/>
      </w:pPr>
      <w:r>
        <w:t xml:space="preserve">-ввод сфальсифицированной компьютерной информации;</w:t>
      </w:r>
    </w:p>
    <w:p>
      <w:pPr>
        <w:pStyle w:val="BodyText"/>
      </w:pPr>
      <w:r>
        <w:t xml:space="preserve">-удаление действительной компьютерной информации, при котором уничтожаются реальные данные (например: о реальном владельце акций, земельного участка и др.) или же они искажаются в результате того, что оставшаяся информация не является полной;</w:t>
      </w:r>
    </w:p>
    <w:p>
      <w:pPr>
        <w:pStyle w:val="BodyText"/>
      </w:pPr>
      <w:r>
        <w:t xml:space="preserve">-блокировка компьютерной информации, т.е. информация продолжает существовать, но становится недоступной для пользователей;</w:t>
      </w:r>
    </w:p>
    <w:p>
      <w:pPr>
        <w:pStyle w:val="BodyText"/>
      </w:pPr>
      <w:r>
        <w:t xml:space="preserve">-модификация (искажение) компьютерной информации;</w:t>
      </w:r>
    </w:p>
    <w:p>
      <w:pPr>
        <w:pStyle w:val="BodyText"/>
      </w:pPr>
      <w:r>
        <w:t xml:space="preserve">-иное вмешательство в функционирование средств хранения, обработки или передачи компьютерной информации или информационно- телекоммуникационных сетей.</w:t>
      </w:r>
    </w:p>
    <w:p>
      <w:pPr>
        <w:pStyle w:val="BodyText"/>
      </w:pPr>
      <w:r>
        <w:t xml:space="preserve">11.</w:t>
      </w:r>
      <w:r>
        <w:t xml:space="preserve"> </w:t>
      </w:r>
      <w:r>
        <w:rPr>
          <w:bCs/>
          <w:b/>
        </w:rPr>
        <w:t xml:space="preserve">О возможности отзыва работника из отпуска</w:t>
      </w:r>
    </w:p>
    <w:p>
      <w:pPr>
        <w:pStyle w:val="BodyText"/>
      </w:pPr>
      <w:r>
        <w:t xml:space="preserve">Возможность отзыва работника из отпуска прописана в части 2 статьи 125 Трудового кодекса РФ.</w:t>
      </w:r>
    </w:p>
    <w:p>
      <w:pPr>
        <w:pStyle w:val="BodyText"/>
      </w:pPr>
      <w:r>
        <w:t xml:space="preserve">Закон не содержит оснований для отзыва, в связи с чем каждый работодатель самостоятельно определяет причины для отзыва работника из отпуска.</w:t>
      </w:r>
    </w:p>
    <w:p>
      <w:pPr>
        <w:pStyle w:val="BodyText"/>
      </w:pPr>
      <w:r>
        <w:t xml:space="preserve">Вместе с тем, отозвать работника из отпуска возможно только с его письменного согласия.</w:t>
      </w:r>
    </w:p>
    <w:p>
      <w:pPr>
        <w:pStyle w:val="BodyText"/>
      </w:pPr>
      <w:r>
        <w:t xml:space="preserve">Если работник не согласен прервать отпуск, работодатель не вправе применить к нему меры дисциплинарного взыскания.</w:t>
      </w:r>
    </w:p>
    <w:p>
      <w:pPr>
        <w:pStyle w:val="BodyText"/>
      </w:pPr>
      <w:r>
        <w:t xml:space="preserve">Таким образом, отказ работника независимо от причины от выполнения распоряжения работодателя о выходе на работу до окончания отпуска нельзя рассматривать как нарушение трудовой дисциплины.</w:t>
      </w:r>
    </w:p>
    <w:p>
      <w:pPr>
        <w:pStyle w:val="BodyText"/>
      </w:pPr>
      <w:r>
        <w:t xml:space="preserve">Указанное подтверждается судебной практикой (постановление Пленума Верховного Суда РФ «О применении судами Российской Федерации Трудового кодекса Российской Федерации» от 17.03.2004 №2).</w:t>
      </w:r>
    </w:p>
    <w:p>
      <w:pPr>
        <w:pStyle w:val="BodyText"/>
      </w:pPr>
      <w:r>
        <w:t xml:space="preserve">В случае получения согласия на отзыв работника из отпуска,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pPr>
        <w:pStyle w:val="BodyText"/>
      </w:pPr>
      <w:r>
        <w:t xml:space="preserve">Важно знать, что законом определены категории работников, отзыв которых из отпусков не допускается ни при каких обстоятельствах.</w:t>
      </w:r>
    </w:p>
    <w:p>
      <w:pPr>
        <w:pStyle w:val="BodyText"/>
      </w:pPr>
      <w:r>
        <w:t xml:space="preserve">К ним отнесены:</w:t>
      </w:r>
    </w:p>
    <w:p>
      <w:pPr>
        <w:pStyle w:val="BodyText"/>
      </w:pPr>
      <w:r>
        <w:t xml:space="preserve">• работники в возрасте до 18 лет;</w:t>
      </w:r>
    </w:p>
    <w:p>
      <w:pPr>
        <w:pStyle w:val="BodyText"/>
      </w:pPr>
      <w:r>
        <w:t xml:space="preserve">• беременные женщины;</w:t>
      </w:r>
    </w:p>
    <w:p>
      <w:pPr>
        <w:pStyle w:val="BodyText"/>
      </w:pPr>
      <w:r>
        <w:t xml:space="preserve">• работники, занятые на работах с вредными и (или) опасными условиями труда.</w:t>
      </w:r>
    </w:p>
    <w:p>
      <w:pPr>
        <w:pStyle w:val="BodyText"/>
      </w:pPr>
      <w:r>
        <w:t xml:space="preserve">12.</w:t>
      </w:r>
      <w:r>
        <w:t xml:space="preserve"> </w:t>
      </w:r>
      <w:r>
        <w:rPr>
          <w:bCs/>
          <w:b/>
        </w:rPr>
        <w:t xml:space="preserve">Как понять, что в вашем мобильном телефоне появилась вредоносная программа?</w:t>
      </w:r>
    </w:p>
    <w:p>
      <w:pPr>
        <w:pStyle w:val="BodyText"/>
      </w:pPr>
      <w:r>
        <w:t xml:space="preserve">С развитием информационно - телекоммуникационной сети Интернет, к сожалению, появляются новые способы обмана его пользователей мошенниками.</w:t>
      </w:r>
    </w:p>
    <w:p>
      <w:pPr>
        <w:pStyle w:val="BodyText"/>
      </w:pPr>
      <w:r>
        <w:t xml:space="preserve">Так, злоумышленники при использовании вирусов, иных вредоносных программ, могут получить удаленный доступ к телефону.</w:t>
      </w:r>
    </w:p>
    <w:p>
      <w:pPr>
        <w:pStyle w:val="BodyText"/>
      </w:pPr>
      <w:r>
        <w:t xml:space="preserve">Цели, которые преследуют мошенники в таком случае:</w:t>
      </w:r>
    </w:p>
    <w:p>
      <w:pPr>
        <w:pStyle w:val="BodyText"/>
      </w:pPr>
      <w:r>
        <w:t xml:space="preserve">❌взлом банковских карт;</w:t>
      </w:r>
    </w:p>
    <w:p>
      <w:pPr>
        <w:pStyle w:val="BodyText"/>
      </w:pPr>
      <w:r>
        <w:t xml:space="preserve">❌кража персональных данных;</w:t>
      </w:r>
    </w:p>
    <w:p>
      <w:pPr>
        <w:pStyle w:val="BodyText"/>
      </w:pPr>
      <w:r>
        <w:t xml:space="preserve">❌рассылка спама;</w:t>
      </w:r>
    </w:p>
    <w:p>
      <w:pPr>
        <w:pStyle w:val="BodyText"/>
      </w:pPr>
      <w:r>
        <w:t xml:space="preserve">❌слежка за пользователями и другие.</w:t>
      </w:r>
    </w:p>
    <w:p>
      <w:pPr>
        <w:pStyle w:val="BodyText"/>
      </w:pPr>
      <w:r>
        <w:t xml:space="preserve">На признаки наличия в смартфоне вредоносных программ могут указывать следующие факторы:</w:t>
      </w:r>
    </w:p>
    <w:p>
      <w:pPr>
        <w:pStyle w:val="BodyText"/>
      </w:pPr>
      <w:r>
        <w:t xml:space="preserve">1) Перегрев мобильного устройства, снижение скорости его работы, высокий расход заряда аккумулятора (данные проблемы могут быть вызваны чрезмерной нагрузкой на процессор телефона, вызванной работой вирусов в фоновом режиме);</w:t>
      </w:r>
    </w:p>
    <w:p>
      <w:pPr>
        <w:pStyle w:val="BodyText"/>
      </w:pPr>
      <w:r>
        <w:t xml:space="preserve">2) Чрезмерные неожиданные расходы на счете (если со счета телефона списываются денежные средства, не предусмотренные текущим тарифом мобильного оператора либо появляются сообщения, которые вы на самом деле не отправляли. Изложенное может стать следствием работы вредоносных программ, целью которых нередко выступает подписка пользователя к платным услугам);</w:t>
      </w:r>
    </w:p>
    <w:p>
      <w:pPr>
        <w:pStyle w:val="BodyText"/>
      </w:pPr>
      <w:r>
        <w:t xml:space="preserve">3) Появление необычных всплывающих окон, уведомлений или рекламы;</w:t>
      </w:r>
    </w:p>
    <w:p>
      <w:pPr>
        <w:pStyle w:val="BodyText"/>
      </w:pPr>
      <w:r>
        <w:t xml:space="preserve">4) Появление неизвестных номеров в телефонной книге, а также в журнале исходящих вызовов;</w:t>
      </w:r>
    </w:p>
    <w:p>
      <w:pPr>
        <w:pStyle w:val="BodyText"/>
      </w:pPr>
      <w:r>
        <w:t xml:space="preserve">5) Появление приложений, которые вы не загружали;</w:t>
      </w:r>
    </w:p>
    <w:p>
      <w:pPr>
        <w:pStyle w:val="BodyText"/>
      </w:pPr>
      <w:r>
        <w:t xml:space="preserve">6) Полная блокировка гаджета и другие.</w:t>
      </w:r>
    </w:p>
    <w:p>
      <w:pPr>
        <w:pStyle w:val="BodyText"/>
      </w:pPr>
      <w:r>
        <w:t xml:space="preserve">Помните, что наличие перечисленных признаков не свидетельствует о том, что ваш телефон однозначно заражен вредоносной программой! Отдельные перебои в работе смартфона могут быть вызваны и другими причинами (к примеру, обновлениями програмного обеспечения).</w:t>
      </w:r>
    </w:p>
    <w:p>
      <w:pPr>
        <w:pStyle w:val="BodyText"/>
      </w:pPr>
      <w:r>
        <w:t xml:space="preserve">В случае, если несколько из перечисленных признаков возникают одновременно, установите антивирусную программу и обратитесь к специалисту.</w:t>
      </w:r>
    </w:p>
    <w:p>
      <w:pPr>
        <w:pStyle w:val="BodyText"/>
      </w:pPr>
      <w:r>
        <w:t xml:space="preserve">13.</w:t>
      </w:r>
      <w:r>
        <w:t xml:space="preserve"> </w:t>
      </w:r>
      <w:r>
        <w:rPr>
          <w:bCs/>
          <w:b/>
        </w:rPr>
        <w:t xml:space="preserve">Порядок обеспечения инвалидов техническими средствами реабилитации</w:t>
      </w:r>
    </w:p>
    <w:p>
      <w:pPr>
        <w:pStyle w:val="BodyText"/>
      </w:pPr>
      <w:r>
        <w:t xml:space="preserve">Обеспечение инвалидов техническими средствами реабилитации (далее - TCP) и протезно-ортопедическими изделиями осуществляется в соответствии с постановлением Правительства РФ от 07.04.2008 № 240 «О порядке обеспечения инвалидов техническими средствами реабилитации, отдельных категорий граждан из числа ветеранов протезами (кроме зубных протезов), протезно-ортопедическими изделиями».</w:t>
      </w:r>
    </w:p>
    <w:p>
      <w:pPr>
        <w:pStyle w:val="BodyText"/>
      </w:pPr>
      <w:r>
        <w:t xml:space="preserve">Потребность в TCPопределяется исходя из индивидуальных программам реабилитации или абилитации инвалидов, разрабатываемых федеральными государственными учреждениями медико-социальной экспертизы, а также заключений об обеспечении протезами, протезно-ортопедическими изделиями ветеранов, выдаваемых врачебными комиссиями медицинских организаций, оказывающих лечебно-профилактическую помощь ветеранам.</w:t>
      </w:r>
    </w:p>
    <w:p>
      <w:pPr>
        <w:pStyle w:val="BodyText"/>
      </w:pPr>
      <w:r>
        <w:t xml:space="preserve">Право инвалида на компенсацию стоимости самостоятельно приобретенного им TCPвозникает только в том случае, если он приобрел его на основании рекомендаций, установленных ему индивидуальными программами реабилитации или абилитации инвалидов, или заключения.</w:t>
      </w:r>
    </w:p>
    <w:p>
      <w:pPr>
        <w:pStyle w:val="BodyText"/>
      </w:pPr>
      <w:r>
        <w:t xml:space="preserve">Для реализации своих прав на обеспечение TCP необходимо подать соответствующее заявление (с приложением документов), форма которого утверждена приказом Фонда социального страхования РФ № 256 от 16.05.2019.</w:t>
      </w:r>
    </w:p>
    <w:p>
      <w:pPr>
        <w:pStyle w:val="BodyText"/>
      </w:pPr>
      <w:r>
        <w:t xml:space="preserve">Подать заявление на предоставление государственной услуги по обеспечению TCP возможно через личный кабинет на Едином портале государственных и муниципальных услуг</w:t>
      </w:r>
      <w:r>
        <w:t xml:space="preserve"> </w:t>
      </w:r>
      <w:hyperlink r:id="rId20">
        <w:r>
          <w:rPr>
            <w:rStyle w:val="Hyperlink"/>
          </w:rPr>
          <w:t xml:space="preserve">(http://www.gosuslugi.ru),</w:t>
        </w:r>
      </w:hyperlink>
      <w:r>
        <w:t xml:space="preserve"> </w:t>
      </w:r>
      <w:r>
        <w:t xml:space="preserve">через многофункциональные центры предоставления государственных и муниципальных услуг, а также в филиале Отделения фонда пенсионного и социального страхования РФ по месту жительства.</w:t>
      </w:r>
    </w:p>
    <w:p>
      <w:pPr>
        <w:pStyle w:val="BodyText"/>
      </w:pPr>
      <w:r>
        <w:t xml:space="preserve">14.</w:t>
      </w:r>
      <w:r>
        <w:t xml:space="preserve"> </w:t>
      </w:r>
      <w:r>
        <w:rPr>
          <w:bCs/>
          <w:b/>
        </w:rPr>
        <w:t xml:space="preserve">Нарушения законодательства в сфере кредитных и микрофинансовых организаций (ломбардов)</w:t>
      </w:r>
    </w:p>
    <w:p>
      <w:pPr>
        <w:pStyle w:val="BodyText"/>
      </w:pPr>
      <w:r>
        <w:t xml:space="preserve">Согласно ст. 3 Федерального закона от 21.12.2013 № 353-ФЗ «О потребительском кредите (займе)» профессиональной деятельностью по предоставлению потребительских займов является деятельность юридического лица или индивидуального предпринимателя по предоставлению потребительских займов в денежной форме (кроме займов, предоставляемых работодателем работнику, займов, предоставляемых физическим лицам, являющимся учредителями (участниками) или аффилированными лицами коммерческой организации, предоставляющей заем, займов, предоставляемых брокером клиенту для совершения сделок купли-продажи ценных бумаг, и иных случаев, предусмотренных указанным федеральным законом).</w:t>
      </w:r>
    </w:p>
    <w:p>
      <w:pPr>
        <w:pStyle w:val="BodyText"/>
      </w:pPr>
      <w:r>
        <w:t xml:space="preserve">Правом на осуществление такой детальности наделены кредитные организации (банки), а также некредитные финансовые организации в случаях, определенных федеральными законами об их деятельности. Кредитная организация должна обладать лицензией на осуществление банковских операций, микрофинансовые организации (ломбарды) должны быть внесены в соответствующий государственный реестр.</w:t>
      </w:r>
    </w:p>
    <w:p>
      <w:pPr>
        <w:pStyle w:val="BodyText"/>
      </w:pPr>
      <w:r>
        <w:t xml:space="preserve">Сведения указанных реестров являются общедоступными и размещены на официальном сайте Банка России.</w:t>
      </w:r>
    </w:p>
    <w:p>
      <w:pPr>
        <w:pStyle w:val="BodyText"/>
      </w:pPr>
      <w:r>
        <w:t xml:space="preserve">Организации, не обладающие статусом кредитной организации, микрофинансовой организации, кредитного потребительского кооператива, сельскохозяйственного потребительского кооператива, ломбарда, а также индивидуальные предприниматели не имеют права на осуществление деятельности, связанной с предоставлением потребительских займов.</w:t>
      </w:r>
    </w:p>
    <w:p>
      <w:pPr>
        <w:pStyle w:val="BodyText"/>
      </w:pPr>
      <w:r>
        <w:t xml:space="preserve">За нарушение указанных требований предусмотрена административная ответственность по ст. 14.56 КоАП РФ в виде штрафа в размере от 30 тысяч до 50 тысяч рублей для должностных лиц и от 300 тысяч до 500 тысяч рублей для юридических лиц. Для лиц, осуществляющих предпринимательскую деятельность без образования юридического лица, кроме штрафа возможно административное приостановление деятельности до 15 суток. Повторное совершение этого административного правонарушения влечет более серьезное наказание.</w:t>
      </w:r>
    </w:p>
    <w:p>
      <w:pPr>
        <w:pStyle w:val="BodyText"/>
      </w:pPr>
      <w:r>
        <w:t xml:space="preserve">За незаконное использование юридическим лицом в своем наименовании словосочетания «микрофинансовая организация» виновные лица могут быть привлечены к административной ответственности по ч. 1 ст. 15.26.1 КоАП РФ.</w:t>
      </w:r>
    </w:p>
    <w:p>
      <w:pPr>
        <w:pStyle w:val="BodyText"/>
      </w:pPr>
      <w:r>
        <w:t xml:space="preserve">За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и если это деяние причинило крупный ущерб либо сопряжено с извлечением дохода в крупном размере предусмотрена уголовная ответственность по ст. 172 УК РФ, максимальное наказание за которое лишение свободы на срок до 7 лет со штрафом в размере до 1 миллиона рублей.</w:t>
      </w:r>
    </w:p>
    <w:p>
      <w:pPr>
        <w:pStyle w:val="BodyText"/>
      </w:pPr>
      <w:r>
        <w:br/>
      </w:r>
    </w:p>
    <w:p>
      <w:pPr>
        <w:pStyle w:val="BodyText"/>
      </w:pPr>
      <w:r>
        <w:t xml:space="preserve">Адрес страницы:</w:t>
      </w:r>
      <w:r>
        <w:t xml:space="preserve"> </w:t>
      </w:r>
      <w:hyperlink r:id="rId21">
        <w:r>
          <w:rPr>
            <w:rStyle w:val="Hyperlink"/>
          </w:rPr>
          <w:t xml:space="preserve">http://uzao.mos.ru/nash-okrug/prokuror-razyasnyaet/detail/12665272.html</w:t>
        </w:r>
      </w:hyperlink>
    </w:p>
    <w:p>
      <w:pPr>
        <w:pStyle w:val="BodyText"/>
      </w:pPr>
      <w:hyperlink r:id="rId22">
        <w:r>
          <w:rPr>
            <w:rStyle w:val="Hyperlink"/>
          </w:rPr>
          <w:t xml:space="preserve">Префектура Юго-Западного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uzao.mos.ru" TargetMode="External" /><Relationship Type="http://schemas.openxmlformats.org/officeDocument/2006/relationships/hyperlink" Id="rId21" Target="http://uzao.mos.ru/nash-okrug/prokuror-razyasnyaet/detail/12665272.html" TargetMode="External" /><Relationship Type="http://schemas.openxmlformats.org/officeDocument/2006/relationships/hyperlink" Id="rId20" Target="http://www.gosuslugi.ru/" TargetMode="External" /></Relationships>
</file>

<file path=word/_rels/footnotes.xml.rels><?xml version="1.0" encoding="UTF-8"?><Relationships xmlns="http://schemas.openxmlformats.org/package/2006/relationships"><Relationship Type="http://schemas.openxmlformats.org/officeDocument/2006/relationships/hyperlink" Id="rId22" Target="http://uzao.mos.ru" TargetMode="External" /><Relationship Type="http://schemas.openxmlformats.org/officeDocument/2006/relationships/hyperlink" Id="rId21" Target="http://uzao.mos.ru/nash-okrug/prokuror-razyasnyaet/detail/12665272.html" TargetMode="External" /><Relationship Type="http://schemas.openxmlformats.org/officeDocument/2006/relationships/hyperlink" Id="rId20" Target="http://www.gosuslugi.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2025-02-16T00:02:50Z</dcterms:created>
  <dcterms:modified xsi:type="dcterms:W3CDTF">2025-02-16T00:02:50Z</dcterms:modified>
</cp:coreProperties>
</file>

<file path=docProps/custom.xml><?xml version="1.0" encoding="utf-8"?>
<Properties xmlns="http://schemas.openxmlformats.org/officeDocument/2006/custom-properties" xmlns:vt="http://schemas.openxmlformats.org/officeDocument/2006/docPropsVTypes"/>
</file>