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78be69fef5397290ee037ab254ca1a106779ea"/>
    <w:p>
      <w:pPr>
        <w:pStyle w:val="Heading3"/>
      </w:pPr>
      <w:r>
        <w:t xml:space="preserve">Прокурор Юго-Западного административного округа г. Москвы разъясняет</w:t>
      </w:r>
    </w:p>
    <w:p>
      <w:pPr>
        <w:pStyle w:val="FirstParagraph"/>
      </w:pPr>
      <w:r>
        <w:t xml:space="preserve">16.09.2024</w:t>
      </w:r>
    </w:p>
    <w:p>
      <w:pPr>
        <w:pStyle w:val="BodyText"/>
      </w:pPr>
      <w:r>
        <w:rPr>
          <w:bCs/>
          <w:b/>
        </w:rPr>
        <w:t xml:space="preserve">1. С 1 сентября 2024 года устанавливаются требования к камерам для фиксации нарушений правил дорожного движения.</w:t>
      </w:r>
    </w:p>
    <w:p>
      <w:pPr>
        <w:pStyle w:val="BodyText"/>
      </w:pPr>
      <w:r>
        <w:t xml:space="preserve">Постановлением Правительства Российской Федерации от 01.06.2024 № 754 с 1 сентября 2024 года устанавливаются правила размещения стационарных средств фиксации, передвижных средств фиксации или мобильных средств фиксации, используемых на автомобильных дорогах и улично-дорожной сети.</w:t>
      </w:r>
    </w:p>
    <w:p>
      <w:pPr>
        <w:pStyle w:val="BodyText"/>
      </w:pPr>
      <w:r>
        <w:t xml:space="preserve">Они содержат требования к обязательному информированию участников дорожного движения о местах размещения таких устройств, определяют допустимые места установки стационарных и передвижных видеокамер. Например, к ним относятся аварийно-опасные участки дорог, пешеходные переходы, перекрестки, места, где запрещена стоянка либо остановка транспортных средств, а также иные места, определяемые при осуществлении контроля (надзора) в области безопасности дорожного движения.</w:t>
      </w:r>
    </w:p>
    <w:p>
      <w:pPr>
        <w:pStyle w:val="BodyText"/>
      </w:pPr>
      <w:r>
        <w:t xml:space="preserve">Для осведомленности участников дорожного движения предусмотрена публикация сведений о местах размещения дорожных видеокамер и о видах нарушений, которые ими фиксируются, на сайте МВД России.</w:t>
      </w:r>
    </w:p>
    <w:p>
      <w:pPr>
        <w:pStyle w:val="BodyText"/>
      </w:pPr>
      <w:r>
        <w:t xml:space="preserve">В случае несоответствия устройства установленным требованиям его применение для фиксации нарушений не допускается, а полученная с помощью такого устройства информация не может использоваться в целях привлечения</w:t>
      </w:r>
      <w:r>
        <w:br/>
      </w:r>
      <w:r>
        <w:t xml:space="preserve">к административной ответственности.</w:t>
      </w:r>
    </w:p>
    <w:p>
      <w:pPr>
        <w:pStyle w:val="BodyText"/>
      </w:pPr>
      <w:r>
        <w:rPr>
          <w:bCs/>
          <w:b/>
        </w:rPr>
        <w:t xml:space="preserve">2. Скорректирован порядок заключения договора потребительского кредита.</w:t>
      </w:r>
    </w:p>
    <w:p>
      <w:pPr>
        <w:pStyle w:val="BodyText"/>
      </w:pPr>
      <w:r>
        <w:t xml:space="preserve">С 01.07.2024 вступил в силу Федеральный закон от 19.12.2023 № 607-ФЗ «О внесении изменений в статьи 5 и 7 Федерального закона «О потребительском кредите (займе)».</w:t>
      </w:r>
    </w:p>
    <w:p>
      <w:pPr>
        <w:pStyle w:val="BodyText"/>
      </w:pPr>
      <w:r>
        <w:t xml:space="preserve">Согласно нововведениям скорректирован порядок заключения договора потребительского кредита. Теперь в кредитном договоре, договоре найма, которые заключены с физическим лицом в целях, не связанных с осуществлением предпринимательской деятельности, и обязательства заемщика обеспечены ипотекой, предусматривающих заключение договора страхования, кредитор вправе в одностороннем порядке увеличить процентную ставку в случае неисполнения обязанности по страхованию.</w:t>
      </w:r>
    </w:p>
    <w:p>
      <w:pPr>
        <w:pStyle w:val="BodyText"/>
      </w:pPr>
      <w:r>
        <w:t xml:space="preserve">Таким образом, при нарушении условий договора страхования заемщиком могут быть применены меры по увеличению процентной ставки по кредитному договору.</w:t>
      </w:r>
    </w:p>
    <w:p>
      <w:pPr>
        <w:pStyle w:val="BodyText"/>
      </w:pPr>
      <w:r>
        <w:t xml:space="preserve">Изменения применяются к договорам потребительского кредита, заключенным после 1 июля 2024 года.</w:t>
      </w:r>
    </w:p>
    <w:p>
      <w:pPr>
        <w:pStyle w:val="BodyText"/>
      </w:pPr>
      <w:r>
        <w:rPr>
          <w:bCs/>
          <w:b/>
        </w:rPr>
        <w:t xml:space="preserve">3. Новое для предпринимателей</w:t>
      </w:r>
    </w:p>
    <w:p>
      <w:pPr>
        <w:pStyle w:val="BodyText"/>
      </w:pPr>
      <w:r>
        <w:t xml:space="preserve">Постановлением Правительства РФ от 28.02.2024 № 219 «О внесении изменений в некоторые акты Правительства Российской Федерации» внесены изменения в «Правила представления уведомлений о начале осуществления отдельных видов предпринимательской деятельности и учета указанных уведомлений (постановление Правительства Российской Федерации от 16.07.2009 №584). В частности, в случае фактического осуществления юридическим лицом или индивидуальным предпринимателем заявленного вида деятельности в нескольких местах уведомление представляется в отношении каждого такого места. При этом в отношении перевозок грузов автомобильным транспортом в качестве места осуществления деятельности может указываться вся территория Российской Федерации.</w:t>
      </w:r>
    </w:p>
    <w:p>
      <w:pPr>
        <w:pStyle w:val="BodyText"/>
      </w:pPr>
      <w:r>
        <w:t xml:space="preserve">Установлен порядок представления уведомлений в уполномоченные в соответствующей сфере деятельности органы государственного контроля (надзора) с использованием единого или региональных порталов госуслуг.</w:t>
      </w:r>
    </w:p>
    <w:p>
      <w:pPr>
        <w:pStyle w:val="BodyText"/>
      </w:pPr>
      <w:r>
        <w:t xml:space="preserve">Уведомления учитываются с использованием единого реестра видов государственного контроля (надзора). Сведения вносятся в единый реестр уведомлений с использованием единого или региональных порталов госуслуг. Сведения об изменении места нахождения юридического лица или места фактического осуществления деятельности, об изменении места жительства индивидуального предпринимателя или места фактического осуществления деятельности, о реорганизации юридического лица включаются в единый реестр уведомлений автоматически из Единого государственного реестра юридических лиц или Единого государственного реестра индивидуальных предпринимателей.</w:t>
      </w:r>
    </w:p>
    <w:p>
      <w:pPr>
        <w:pStyle w:val="BodyText"/>
      </w:pPr>
      <w:r>
        <w:t xml:space="preserve">Общедоступные сведения, содержащиеся в едином реестре уведомлений, должны быть доступны для ознакомления без взимания платы на сайте единого реестра уведомлений, размещаемом на публичном портале единого реестра видов контроля.</w:t>
      </w:r>
    </w:p>
    <w:p>
      <w:pPr>
        <w:pStyle w:val="BodyText"/>
      </w:pPr>
      <w:r>
        <w:t xml:space="preserve">Также установлены порядки представления и учета уведомлений в случае, если уполномоченными органами государственного контроля (надзора) являются органы ФСБ России или органы СВР России. В этом случае уведомление составляется заявителем по установленной форме и представляется в уполномоченный орган до начала фактического выполнения работ и оказания услуг.</w:t>
      </w:r>
    </w:p>
    <w:p>
      <w:pPr>
        <w:pStyle w:val="BodyText"/>
      </w:pPr>
      <w:r>
        <w:t xml:space="preserve">Скорректирован перечень работ и услуг в составе отдельных видов предпринимательской деятельности, о начале осуществления которых юридическим лицом или индивидуальным предпринимателем представляется уведомление. В частности, из перечня исключены некоторые бытовые услуги, услуги по перевозке пассажиров и багажа в городском, пригородном и междугородном сообщении, распиловка и строгание древесины, ремонт компьютеров и коммуникационного оборудования, производство деревянной тары, производство электрической распределительной и регулирующей аппаратуры.</w:t>
      </w:r>
    </w:p>
    <w:p>
      <w:pPr>
        <w:pStyle w:val="BodyText"/>
      </w:pPr>
      <w:r>
        <w:rPr>
          <w:bCs/>
          <w:b/>
        </w:rPr>
        <w:t xml:space="preserve">4. Новые принципы в разрешении споров о банкротстве.</w:t>
      </w:r>
    </w:p>
    <w:p>
      <w:pPr>
        <w:pStyle w:val="BodyText"/>
      </w:pPr>
      <w:r>
        <w:t xml:space="preserve">Президиумом Верховного Суда РФ от 15.05.2024 утвержден «Обзор судебной практики разрешения споров о несостоятельности (банкротстве) за 2023 год», в который вошли позиции коллегии по экономическим спорам по широкому кругу вопросов: от возбуждения дела о банкротстве до особенностей банкротства отдельных категорий должников.</w:t>
      </w:r>
    </w:p>
    <w:p>
      <w:pPr>
        <w:pStyle w:val="BodyText"/>
      </w:pPr>
      <w:r>
        <w:t xml:space="preserve">Определены правовые позиции, касающиеся возбуждения дела о банкротстве и установления требований в реестре, очередности требований, ответственности контролирующих лиц, особенностей банкротства физических лиц и застройщиков, которые заключаются в следующем.</w:t>
      </w:r>
    </w:p>
    <w:p>
      <w:pPr>
        <w:pStyle w:val="BodyText"/>
      </w:pPr>
      <w:r>
        <w:t xml:space="preserve">Так, инициировать банкротство заемщика по «непросуженному» долгу перед микрофинансовой организацией нельзя. Индексация взысканных по решению суда сумм прекращается с момента введения первой процедуры в деле о банкротстве должника.</w:t>
      </w:r>
    </w:p>
    <w:p>
      <w:pPr>
        <w:pStyle w:val="BodyText"/>
      </w:pPr>
      <w:r>
        <w:t xml:space="preserve">Очередность требования о выплате стоимости доли зависит от того, когда участник вышел из состава юридического лица. Очередность могут повысить, если оставшиеся участники мешали получению стоимости доли.</w:t>
      </w:r>
    </w:p>
    <w:p>
      <w:pPr>
        <w:pStyle w:val="BodyText"/>
      </w:pPr>
      <w:r>
        <w:t xml:space="preserve">Расходы по налогу на прибыль с продажи имущества должника (как залогового, так и незалогового) относятся к третьей очереди реестра.</w:t>
      </w:r>
    </w:p>
    <w:p>
      <w:pPr>
        <w:pStyle w:val="BodyText"/>
      </w:pPr>
      <w:r>
        <w:t xml:space="preserve">Для презумпции вины контролирующего лица в доведении должника до банкротства из-за долгов по налогам недостаточно факта привлечения к налоговой ответственности. Сумма доначислений должна составлять более 50% общего размера требований кредиторов третьей очереди.</w:t>
      </w:r>
    </w:p>
    <w:p>
      <w:pPr>
        <w:pStyle w:val="BodyText"/>
      </w:pPr>
      <w:r>
        <w:t xml:space="preserve">Если у кредитора нет доступа к документам о деятельности должника, исключенного из ЕГРЮЛ, бремя доказывания мотивов прекращения бизнеса и причин неисполнения обязательств перед кредиторами возлагается на контролирующее лицо.</w:t>
      </w:r>
    </w:p>
    <w:p>
      <w:pPr>
        <w:pStyle w:val="BodyText"/>
      </w:pPr>
      <w:r>
        <w:t xml:space="preserve">Нельзя забрать единственную квартиру у банкрота-залогодателя, если должник исправно исполняет обязательство, обеспеченное ипотекой. В данном случае возможно принять решение о заключении мирового соглашения и сохранении ипотеки.</w:t>
      </w:r>
    </w:p>
    <w:p>
      <w:pPr>
        <w:pStyle w:val="BodyText"/>
      </w:pPr>
      <w:r>
        <w:t xml:space="preserve">У квартиры, которая стала единственным жильем должника из-за его недобросовестных действий, нет исполнительского иммунитета. Вместе с тем отказ в его применении не должен приводить к тому, что члены семьи должника окажутся на улице.</w:t>
      </w:r>
    </w:p>
    <w:p>
      <w:pPr>
        <w:pStyle w:val="BodyText"/>
      </w:pPr>
      <w:r>
        <w:t xml:space="preserve">Осуждение должника за преступление по неосторожности не является препятствием для освобождения от долгов по итогам банкротных процедур.</w:t>
      </w:r>
    </w:p>
    <w:p>
      <w:pPr>
        <w:pStyle w:val="BodyText"/>
      </w:pPr>
      <w:r>
        <w:t xml:space="preserve">Требования, вытекающие из причинения вреда жизни или здоровью, относятся к первой очереди и компенсация морального вреда не является исключением.</w:t>
      </w:r>
    </w:p>
    <w:p>
      <w:pPr>
        <w:pStyle w:val="BodyText"/>
      </w:pPr>
      <w:r>
        <w:t xml:space="preserve">Требования из договора долевого участия арбитражный управляющий включает в реестр застройщика сам, а исключает оттуда через суд. Если из-за бездействия управляющего требование не было включено в реестр, участника не могут лишить права на получение жилого помещения в натуре.</w:t>
      </w:r>
    </w:p>
    <w:p>
      <w:pPr>
        <w:pStyle w:val="BodyText"/>
      </w:pPr>
      <w:r>
        <w:t xml:space="preserve">После расторжения договора с застройщиком гражданин не вправе заявлять о включении своего требования в реестр требований о передаче жилых помещений. Гражданин вправе рассчитывать на компенсацию в размере рыночной цены жилья, на которое он претендовал до расторжения договора. Как компенсацию могут использовать и само жилье, если на него не претендуют другие участники строительства.</w:t>
      </w:r>
    </w:p>
    <w:p>
      <w:pPr>
        <w:pStyle w:val="BodyText"/>
      </w:pPr>
      <w:r>
        <w:t xml:space="preserve">Передача квартир дольщикам (неденежное погашение требований) учитывается при расчете процентов по вознаграждению управляющего.</w:t>
      </w:r>
    </w:p>
    <w:p>
      <w:pPr>
        <w:pStyle w:val="BodyText"/>
      </w:pPr>
      <w:r>
        <w:rPr>
          <w:bCs/>
          <w:b/>
        </w:rPr>
        <w:t xml:space="preserve">5. Порядок рассмотрения судом дел по спорам о восстановлении на работе.</w:t>
      </w:r>
    </w:p>
    <w:p>
      <w:pPr>
        <w:pStyle w:val="BodyText"/>
      </w:pPr>
      <w:r>
        <w:t xml:space="preserve">Работник может быть восстановлен на работе по решению суда. Для этого необходимо подать исковое заявление.</w:t>
      </w:r>
    </w:p>
    <w:p>
      <w:pPr>
        <w:pStyle w:val="BodyText"/>
      </w:pPr>
      <w:r>
        <w:t xml:space="preserve">Российским законодательством установлены определенные сроки обращения в суд за разрешением индивидуальных трудовых споров, пропуск которых без уважительных причин является основанием для отказа в удовлетворении иска. В соответствии с ч. 1 ст. 392 ТК РФ работник имеет право обратиться в суд по спорам об увольнении в течение одного месяца со дня вручения ему копии приказа об увольнении либо со дня выдачи трудовой книжки или со дня предоставления работнику в связи с его увольнением сведений о трудовой деятельности у работодателя по последнему месту работы.</w:t>
      </w:r>
    </w:p>
    <w:p>
      <w:pPr>
        <w:pStyle w:val="BodyText"/>
      </w:pPr>
      <w:r>
        <w:t xml:space="preserve">В случае пропуска работником по уважительным причинам указанного срока, он может быть восстановлен судом. К таким причинам относятся:</w:t>
      </w:r>
    </w:p>
    <w:p>
      <w:pPr>
        <w:pStyle w:val="BodyText"/>
      </w:pPr>
      <w:r>
        <w:t xml:space="preserve">1. Обращение в суд с нарушением правил подсудности. Если работник подал</w:t>
      </w:r>
      <w:r>
        <w:br/>
      </w:r>
      <w:r>
        <w:t xml:space="preserve">иск с соблюдением срока, но не в тот суд, т.е. с нарушением подсудности.</w:t>
      </w:r>
    </w:p>
    <w:p>
      <w:pPr>
        <w:pStyle w:val="BodyText"/>
      </w:pPr>
      <w:r>
        <w:t xml:space="preserve">2. Обращение в трудовую инспекцию или прокуратуру для проведения</w:t>
      </w:r>
      <w:r>
        <w:br/>
      </w:r>
      <w:r>
        <w:t xml:space="preserve">проверки названными органами.</w:t>
      </w:r>
    </w:p>
    <w:p>
      <w:pPr>
        <w:pStyle w:val="BodyText"/>
      </w:pPr>
      <w:r>
        <w:t xml:space="preserve">3. Беременность, роды, уход за ребенком.</w:t>
      </w:r>
    </w:p>
    <w:p>
      <w:pPr>
        <w:pStyle w:val="BodyText"/>
      </w:pPr>
      <w:r>
        <w:t xml:space="preserve">4. Болезнь. Если работник болел и был не в состоянии подать иск, суд может</w:t>
      </w:r>
      <w:r>
        <w:br/>
      </w:r>
      <w:r>
        <w:t xml:space="preserve">восстановить срок.</w:t>
      </w:r>
    </w:p>
    <w:p>
      <w:pPr>
        <w:pStyle w:val="BodyText"/>
      </w:pPr>
      <w:r>
        <w:t xml:space="preserve">5. Заблуждение работника относительно обещаний и действий работодателя.</w:t>
      </w:r>
    </w:p>
    <w:p>
      <w:pPr>
        <w:pStyle w:val="BodyText"/>
      </w:pPr>
      <w:r>
        <w:t xml:space="preserve">6. Иные объективные препятствия.</w:t>
      </w:r>
    </w:p>
    <w:p>
      <w:pPr>
        <w:pStyle w:val="BodyText"/>
      </w:pPr>
      <w:r>
        <w:t xml:space="preserve">В трудовых спорах о восстановлении на работе обязательно участие прокурора, который дает заключение по делу. При несогласии с вынесенным судебным актом прокурор, участвовавший в деле, вправе обжаловать его в суд вышестоящей инстанции.</w:t>
      </w:r>
    </w:p>
    <w:p>
      <w:pPr>
        <w:pStyle w:val="BodyText"/>
      </w:pPr>
      <w:r>
        <w:t xml:space="preserve">Работник, уволенный без законного основания или с нарушением установленного порядка увольнения, подлежит восстановлению на прежней работе. Решение о восстановлении на работе незаконно уволенного работника подлежит немедленному исполнению.</w:t>
      </w:r>
    </w:p>
    <w:p>
      <w:pPr>
        <w:pStyle w:val="BodyText"/>
      </w:pPr>
      <w:r>
        <w:rPr>
          <w:bCs/>
          <w:b/>
        </w:rPr>
        <w:t xml:space="preserve">6. Законные способы взаимодействия кредиторов и должников при взыскании просроченной задолженности по договорам микрозаймов</w:t>
      </w:r>
    </w:p>
    <w:p>
      <w:pPr>
        <w:pStyle w:val="BodyText"/>
      </w:pPr>
      <w:r>
        <w:t xml:space="preserve">В последнее время набирает обороты возможность получения денежных средств в короткий период времени, без прохождения процедуры в банке, путем обращения к микрофинансовым организациям. Деятельность по предоставлению микрозаймов гражданам урегулирована Федеральным законом от 02.07.2010 151-ФЗ «О микрофинансовой деятельности и микрофинансовых организациях».</w:t>
      </w:r>
    </w:p>
    <w:p>
      <w:pPr>
        <w:pStyle w:val="BodyText"/>
      </w:pPr>
      <w:r>
        <w:t xml:space="preserve">При этом, не всегда в случае взыскания просроченной задолженности, указанные организации соблюдают права граждан при исполнении договоров займа. В связи с чем, граждане вынуждены обращаться в территориальные отделы органов внутренних дел на неправомерные действия кредиторов, поскольку они связаны с высказыванием угроз, шантажа, применения методов психологического насилия.</w:t>
      </w:r>
    </w:p>
    <w:p>
      <w:pPr>
        <w:pStyle w:val="BodyText"/>
      </w:pPr>
      <w:r>
        <w:t xml:space="preserve">Законные способы взаимодействия кредиторов перечислены в ст. 4 Федерального закона от 03.07.2016 №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К ним относятся, например, личные встречи, телефонные переговоры, отправка письменной корреспонденции по месту жительства или месту пребывания должника; телеграфные сообщения, текстовые, голосовые и иные сообщения, передаваемые по сети связи общего пользования или с использованием сайтов и страниц сайтов в сети «Интернет».</w:t>
      </w:r>
    </w:p>
    <w:p>
      <w:pPr>
        <w:pStyle w:val="BodyText"/>
      </w:pPr>
      <w:r>
        <w:t xml:space="preserve">Подобные действия, направленные на запугивание, в том числе введение в заблуждение размера неисполненного обязательства, причин его неисполнения должником, сроков исполнения обязательства; передачи вопроса о возврате просроченной задолженности на рассмотрение суда, возможности применения к должнику мер административного и уголовно-процессуального воздействия и уголовного преследования - являются незаконными. В подобных случаях следует незамедлительно обращаться в Центробанк, органы внутренних дел по месту жительства должника, службу судебных приставов.</w:t>
      </w:r>
    </w:p>
    <w:p>
      <w:pPr>
        <w:pStyle w:val="BodyText"/>
      </w:pPr>
      <w:r>
        <w:t xml:space="preserve">За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предусмотрена административная ответственность (ст. 14.57 КоАП РФ).</w:t>
      </w:r>
    </w:p>
    <w:p>
      <w:pPr>
        <w:pStyle w:val="BodyText"/>
      </w:pPr>
      <w:r>
        <w:t xml:space="preserve">Прокуратурой области на постоянной основе проверяется организация межведомственного взаимодействия поднадзорных территориальных подразделений ФССП России и МВД России по вопросам пресечения неправомерной коллекторской деятельности и нарушений прав граждан при взыскании долгов. В рамках осуществления обмена информацией сотрудники ФССП области проводят рабочие встречи с представителями МВД области по вышеуказанным вопросам.</w:t>
      </w:r>
    </w:p>
    <w:p>
      <w:pPr>
        <w:pStyle w:val="BodyText"/>
      </w:pPr>
      <w:r>
        <w:rPr>
          <w:bCs/>
          <w:b/>
        </w:rPr>
        <w:t xml:space="preserve">7. Порядок помещения несовершеннолетних правонарушителей в центр временного содержания несовершеннолетних.</w:t>
      </w:r>
    </w:p>
    <w:p>
      <w:pPr>
        <w:pStyle w:val="BodyText"/>
      </w:pPr>
      <w:r>
        <w:t xml:space="preserve">Порядок помещения несовершеннолетних правонарушителей в центр временногосодержания несовершеннолетних регламентирован главой 31.2 Кодекса административного судопроизводства Российской Федерации и Федеральным законом от 24.06.1999 № 120-ФЗ «Об основах системы профилактики безнадзорности и правонарушений несовершеннолетних».</w:t>
      </w:r>
    </w:p>
    <w:p>
      <w:pPr>
        <w:pStyle w:val="BodyText"/>
      </w:pPr>
      <w:r>
        <w:t xml:space="preserve">К полномочиям таких Центров относятся обеспечение круглосуточного приема и временного содержания несовершеннолетних правонарушителей в целях защиты их жизни, здоровья и предупреждения повторных правонарушений; проведение индивидуальной профилактической работы с доставленными несовершеннолетними, выявление среди них лиц, причастных к совершению преступлений и общественно опасных деяний, а также установление обстоятельств, причин и условий, способствующих их совершению, и информирование об этом соответствующих органов внутренних дел и других заинтересованных органов и учреждений, а также осуществление в пределах своей компетенции других мер по устройству несовершеннолетних, содержащихся в указанных учреждениях.</w:t>
      </w:r>
    </w:p>
    <w:p>
      <w:pPr>
        <w:pStyle w:val="BodyText"/>
      </w:pPr>
      <w:r>
        <w:t xml:space="preserve">В указанные Центры могут быть помещены:</w:t>
      </w:r>
    </w:p>
    <w:p>
      <w:pPr>
        <w:pStyle w:val="BodyText"/>
      </w:pPr>
      <w:r>
        <w:t xml:space="preserve">1) направляемые по приговору суда или по решению суда в специальные</w:t>
      </w:r>
      <w:r>
        <w:br/>
      </w:r>
      <w:r>
        <w:t xml:space="preserve">учебно-воспитательные учреждения закрытого типа;</w:t>
      </w:r>
    </w:p>
    <w:p>
      <w:pPr>
        <w:pStyle w:val="BodyText"/>
      </w:pPr>
      <w:r>
        <w:t xml:space="preserve">2) временно ожидающие рассмотрения судом вопроса о помещении их в специальные учебно-воспитательные учреждения закрытого типа при необходимости обеспечения защиты жизни или здоровья несовершеннолетнего, предупреждения повторного общественно опасного деяния либо в случае отсутствия у несовершеннолетнего места жительства, либо злостного уклонения несовершеннолетнего от явки в суд или от медицинского освидетельствования;</w:t>
      </w:r>
    </w:p>
    <w:p>
      <w:pPr>
        <w:pStyle w:val="BodyText"/>
      </w:pPr>
      <w:r>
        <w:t xml:space="preserve">3) самовольно ушедшие из специальных учебно-воспитательных</w:t>
      </w:r>
      <w:r>
        <w:br/>
      </w:r>
      <w:r>
        <w:t xml:space="preserve">учреждений закрытого типа;</w:t>
      </w:r>
    </w:p>
    <w:p>
      <w:pPr>
        <w:pStyle w:val="BodyText"/>
      </w:pPr>
      <w:r>
        <w:t xml:space="preserve">4) совершившие общественно опасное деяние до достижения возраста, с которого наступает уголовная ответственность за это деяние;</w:t>
      </w:r>
    </w:p>
    <w:p>
      <w:pPr>
        <w:pStyle w:val="BodyText"/>
      </w:pPr>
      <w:r>
        <w:t xml:space="preserve">5) достигшие и не достигшие возраста административной ответственности, совершившие правонарушение, влекущее административную ответственность.</w:t>
      </w:r>
    </w:p>
    <w:p>
      <w:pPr>
        <w:pStyle w:val="BodyText"/>
      </w:pPr>
      <w:r>
        <w:t xml:space="preserve">Помещение несовершеннолетних в соответствующие Центры правомерно лишь в случаях:</w:t>
      </w:r>
    </w:p>
    <w:p>
      <w:pPr>
        <w:pStyle w:val="BodyText"/>
      </w:pPr>
      <w:r>
        <w:t xml:space="preserve">-если необходимо обеспечить защиту жизни или здоровья несовершеннолетних или предупредить совершение ими повторного общественно опасного деяния,</w:t>
      </w:r>
    </w:p>
    <w:p>
      <w:pPr>
        <w:pStyle w:val="BodyText"/>
      </w:pPr>
      <w:r>
        <w:t xml:space="preserve">-если их личность не установлена,</w:t>
      </w:r>
    </w:p>
    <w:p>
      <w:pPr>
        <w:pStyle w:val="BodyText"/>
      </w:pPr>
      <w:r>
        <w:t xml:space="preserve">-если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w:t>
      </w:r>
    </w:p>
    <w:p>
      <w:pPr>
        <w:pStyle w:val="BodyText"/>
      </w:pPr>
      <w:r>
        <w:t xml:space="preserve">-если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3 часов.</w:t>
      </w:r>
    </w:p>
    <w:p>
      <w:pPr>
        <w:pStyle w:val="BodyText"/>
      </w:pPr>
      <w:r>
        <w:t xml:space="preserve">Административное исковое заявление о помещении несовершеннолетнего в центр временного содержания подается органом внутренних дел. Заявление указанной категории рассматривается в закрытом судебном заседании с обязательным участием законного представителя несовершеннолетнего и прокурора. По ходатайству несовершеннолетнего, его законных представителей, представителей допускается рассмотрение дела в открытом судебном заседании.</w:t>
      </w:r>
    </w:p>
    <w:p>
      <w:pPr>
        <w:pStyle w:val="BodyText"/>
      </w:pPr>
      <w:r>
        <w:t xml:space="preserve">Срок содержания несовершеннолетнего в Центре составляет не более 30 суток. В исключительных случаях допускается его продление на основании решения суда на срок до 15 суток.</w:t>
      </w:r>
    </w:p>
    <w:p>
      <w:pPr>
        <w:pStyle w:val="BodyText"/>
      </w:pPr>
      <w:r>
        <w:t xml:space="preserve">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подлежит немедленному исполнению.</w:t>
      </w:r>
    </w:p>
    <w:p>
      <w:pPr>
        <w:pStyle w:val="BodyText"/>
      </w:pPr>
      <w:r>
        <w:t xml:space="preserve">Правом апелляционного обжалования решений по указанной категории спора обладают лица, участвующие в деле, в том числе несовершеннолетний, достигший возраста 14 лет.</w:t>
      </w:r>
    </w:p>
    <w:p>
      <w:pPr>
        <w:pStyle w:val="BodyText"/>
      </w:pPr>
      <w:r>
        <w:rPr>
          <w:bCs/>
          <w:b/>
        </w:rPr>
        <w:t xml:space="preserve">8. Об административной ответственности за незаконный оборот наркотических средств, психотропных веществ или их аналогов</w:t>
      </w:r>
    </w:p>
    <w:p>
      <w:pPr>
        <w:pStyle w:val="BodyText"/>
      </w:pPr>
      <w:r>
        <w:t xml:space="preserve">Статьей 6.8 КоАП РФ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 предусмотрена административная ответственность в виде наложения административного штрафа в размере от четырех тысяч до пяти тысяч рублей или административный арест на срок до пятнадцати суток.</w:t>
      </w:r>
    </w:p>
    <w:p>
      <w:pPr>
        <w:pStyle w:val="BodyText"/>
      </w:pPr>
      <w:r>
        <w:t xml:space="preserve">Если указанное административное правонарушение совершено иностранным гражданином или лицом без гражданства, то кроме уплаты штрафа или отбытия административного ареста, виновный подлежит выдворению за пределы Российской Федерации.</w:t>
      </w:r>
    </w:p>
    <w:p>
      <w:pPr>
        <w:pStyle w:val="BodyText"/>
      </w:pPr>
      <w:r>
        <w:t xml:space="preserve">Не подлежит привлечению к административной ответственности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w:t>
      </w:r>
    </w:p>
    <w:p>
      <w:pPr>
        <w:pStyle w:val="BodyText"/>
      </w:pPr>
      <w:r>
        <w:rPr>
          <w:bCs/>
          <w:b/>
        </w:rPr>
        <w:t xml:space="preserve">9. Об ответственности работодателя за задержку зарплаты, отпускных и других выплат работнику.</w:t>
      </w:r>
    </w:p>
    <w:p>
      <w:pPr>
        <w:pStyle w:val="BodyText"/>
      </w:pPr>
      <w:r>
        <w:t xml:space="preserve">Работодатель или уполномоченные им в установленном порядке представители работодателя, допустившие задержку выплаты работникам заработной платы и других выплат, несут административную, уголовную и материальную ответственность. Кроме того, к руководителю учреждения собственник имущества может применить дисциплинарные взыскания.</w:t>
      </w:r>
    </w:p>
    <w:p>
      <w:pPr>
        <w:pStyle w:val="BodyText"/>
      </w:pPr>
      <w:r>
        <w:t xml:space="preserve">Статьей 236 Трудового кодекса РФ предусмотрена материальная ответственность работодателя за не выплаченные в срок суммы, включая заработную плату, отпускные, выплаты при увольнении, аванса. Помимо этого, если работодатель задержал зарплату на срок больше 15 дней, то работник имеет право прекратить осуществлять свою трудовую деятельность, сообщив об этом руководителю в письменной форме, на весь период до выплаты задержанной суммы. Данные правила установлены ч. 2 ст. 142 ТК РФ.</w:t>
      </w:r>
    </w:p>
    <w:p>
      <w:pPr>
        <w:pStyle w:val="BodyText"/>
      </w:pPr>
      <w:r>
        <w:t xml:space="preserve">Административная ответственность предусмотрена за невыплату или неполную выплату в установленный срок заработной платы и других выплат, осуществляемых в рамках трудовых отношений по ч. 6 ст. 5.27 КоАП РФ в виде предупреждения или штрафа в размере:</w:t>
      </w:r>
    </w:p>
    <w:p>
      <w:pPr>
        <w:pStyle w:val="BodyText"/>
      </w:pPr>
      <w:r>
        <w:t xml:space="preserve">-до 20 000 руб. для должностных лиц;</w:t>
      </w:r>
    </w:p>
    <w:p>
      <w:pPr>
        <w:pStyle w:val="BodyText"/>
      </w:pPr>
      <w:r>
        <w:t xml:space="preserve">-до 5000 руб. для индивидуальных предпринимателей;</w:t>
      </w:r>
    </w:p>
    <w:p>
      <w:pPr>
        <w:pStyle w:val="BodyText"/>
      </w:pPr>
      <w:r>
        <w:t xml:space="preserve">-до 50 000 руб. для юридических лиц.</w:t>
      </w:r>
    </w:p>
    <w:p>
      <w:pPr>
        <w:pStyle w:val="BodyText"/>
      </w:pPr>
      <w:r>
        <w:t xml:space="preserve">Лицо, которое ранее подвергалось административному наказанию по указанной статье закона и повторно совершило аналогичное правонарушение, может быть привлечено к ответственности по ч. 7 ст. 5.27 КоАП РФ с назначением наказания в виде штрафа, максимальный размер которого составляет 100 000 руб., а также к виновному может быть применена дисквалификация на срок до трех лет.</w:t>
      </w:r>
    </w:p>
    <w:p>
      <w:pPr>
        <w:pStyle w:val="BodyText"/>
      </w:pPr>
      <w:r>
        <w:t xml:space="preserve">Пунктом 19 постановления Пленума Верховного Суда РФ от 25.12.2018 № 46оговорено, что срок задержки выплат исчисляется со дня, следующего за установленной правилами внутреннего трудового распорядка организации, коллективным договором, трудовым договором датой выплаты заработной платы. Периоды невыплат за отдельные месяцы года не суммируются в срок свыше двух или трех месяцев, если они прерывались периодами, за которые выплаты осуществлялись.</w:t>
      </w:r>
    </w:p>
    <w:p>
      <w:pPr>
        <w:pStyle w:val="BodyText"/>
      </w:pPr>
      <w:r>
        <w:t xml:space="preserve">Уголовная ответственность предусмотрена за частичную невыплату свыше трех месяцев либо полной невыплаты свыше двух месяцев заработной платы, пенсий, стипендий, пособий и иных установленных законом выплат (частичная невыплата означает осуществление платежа в размере менее половины суммы, подлежащей выплате). За данные нарушения виновным грозит максимальный штраф до 500 000 руб.; лишение права занимать определенные должности или осуществлять определенную деятельность на срок до 5 лет; принудительные работы на срок до 3 лет либо лишение свободы на срок до 5 лет (ст. 145.1 УК РФ).</w:t>
      </w:r>
    </w:p>
    <w:p>
      <w:pPr>
        <w:pStyle w:val="BodyText"/>
      </w:pPr>
      <w:r>
        <w:t xml:space="preserve">Следует знать, что лицо, впервые совершившее указанное преступление, освобождается от ответственности, если в течение двух месяцев со дня возбуждения уголовного дела полностью погасило задолженность, а также уплатило проценты (компенсацию), и в его действиях нет иного состава преступления.</w:t>
      </w:r>
    </w:p>
    <w:p>
      <w:pPr>
        <w:pStyle w:val="BodyText"/>
      </w:pPr>
      <w:r>
        <w:t xml:space="preserve">Привлечение к ответственности грозит виновным и в том случае если трудовой договор не оформлен должным образом, но работник приступил к выполнению работы с ведома и по поручению работодателя либо его уполномоченного представителя. Ответственность может быть возложена не только на руководителя организации, но и на руководителя филиала, представительства, иного обособленного структурного подразделения организации.</w:t>
      </w:r>
    </w:p>
    <w:p>
      <w:pPr>
        <w:pStyle w:val="BodyText"/>
      </w:pPr>
      <w:r>
        <w:rPr>
          <w:bCs/>
          <w:b/>
        </w:rPr>
        <w:t xml:space="preserve">10. О назначении пенсии в беззаявительном порядке.</w:t>
      </w:r>
    </w:p>
    <w:p>
      <w:pPr>
        <w:pStyle w:val="BodyText"/>
      </w:pPr>
      <w:r>
        <w:t xml:space="preserve">С 01.01.2024 вступил в силу приказ Министерства труда и социальной защиты Российской Федерации от 31.05.2023 № 488н, которым предусмотрено, что страховая и социальная пенсии по случаю потери кормильца, а также социальная пенсия детям, оба родителя которых неизвестны, будут назначаться в беззаявительном порядке.</w:t>
      </w:r>
    </w:p>
    <w:p>
      <w:pPr>
        <w:pStyle w:val="BodyText"/>
      </w:pPr>
      <w:r>
        <w:t xml:space="preserve">Так, назначение страховой и социальной пенсии по инвалидности лицу, в отношении которого содержатся сведения о признании инвалидом в федеральном реестре инвалидов, производится территориальным органом Фонда пенсионного и социального страхования Российской Федерации по месту жительства лица, признанного инвалидом, без истребования от него заявления о назначении указанных видов пенсий.</w:t>
      </w:r>
    </w:p>
    <w:p>
      <w:pPr>
        <w:pStyle w:val="BodyText"/>
      </w:pPr>
      <w:r>
        <w:t xml:space="preserve">Перечисленные виды пенсий назначает территориальный орган Фонда пенсионного и социального страхования Российской Федерации не позднее пяти дней со дня поступления сведений о признании лица инвалидом из федерального реестра инвалидов и извещает лицо, признанное инвалидом, о назначении страховой пенсии по инвалидности или социальной пенсии по инвалидности в течение трех рабочих дней со дня вынесения решения о назначении.</w:t>
      </w:r>
    </w:p>
    <w:p>
      <w:pPr>
        <w:pStyle w:val="BodyText"/>
      </w:pPr>
      <w:r>
        <w:t xml:space="preserve">Аналогичные правила устанавливаются при назначении страховой пенсии или социальной пенсии по случаю потери кормильца. Страховые и социальные пенсии по случаю потери кормильца его детям, не достигшим возраста 18 лет, будут устанавливаться со дня его смерти не позднее пяти рабочих дней со дня поступления информации о смерти из федерального регистра сведений о населении России.</w:t>
      </w:r>
    </w:p>
    <w:p>
      <w:pPr>
        <w:pStyle w:val="BodyText"/>
      </w:pPr>
      <w:r>
        <w:t xml:space="preserve">Вводится также беззаявительный перерасчет фиксированной выплаты к страховой пенсии по старости и по инвалидности.</w:t>
      </w:r>
    </w:p>
    <w:p>
      <w:pPr>
        <w:pStyle w:val="BodyText"/>
      </w:pPr>
      <w:r>
        <w:rPr>
          <w:bCs/>
          <w:b/>
        </w:rPr>
        <w:t xml:space="preserve">11. О мерах противодействия коррупции в сфере закупок.</w:t>
      </w:r>
    </w:p>
    <w:p>
      <w:pPr>
        <w:pStyle w:val="BodyText"/>
      </w:pPr>
      <w:r>
        <w:t xml:space="preserve">Государством осуществляется работа по минимизации коррупционных проявлений во всех сферах общественных правоотношений. Одна из наиболее подверженных таким рискам – осуществление закупок товаров, работ, услуг для обеспечения государственных и муниципальных нужд.</w:t>
      </w:r>
    </w:p>
    <w:p>
      <w:pPr>
        <w:pStyle w:val="BodyText"/>
      </w:pPr>
      <w:r>
        <w:t xml:space="preserve">Согласно подпункту 7.1 пункта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не допускается участие в государственных (муниципальных) закупках тех юридических лиц, которые в течение двух лет до момента подачи заявки на участие в закупке привлекались к административной ответственности по статье 19.28 КоАП РФ.</w:t>
      </w:r>
    </w:p>
    <w:p>
      <w:pPr>
        <w:pStyle w:val="BodyText"/>
      </w:pPr>
      <w:r>
        <w:t xml:space="preserve">Заказчик самостоятельно проверяет достоверность информации, которую декларирует участник закупки, в том числе и сведения в этой части.</w:t>
      </w:r>
    </w:p>
    <w:p>
      <w:pPr>
        <w:pStyle w:val="BodyText"/>
      </w:pPr>
      <w:r>
        <w:t xml:space="preserve">Информацию о штрафах по ст. 19.28 КоАП РФ оператор самостоятельно получает из Единой информационной системы в сфере закупок (далее – ЕИС). При этом изначально указанные сведения формируются в ЕИС Федеральным казначейством.</w:t>
      </w:r>
    </w:p>
    <w:p>
      <w:pPr>
        <w:pStyle w:val="BodyText"/>
      </w:pPr>
      <w:r>
        <w:t xml:space="preserve">Следует отметить, что государственный (муниципальный) контракт, заключенный с такой организацией, подлежит безусловному расторжению заказчиком в одностороннем порядке вне зависимости от стадии исполнения.</w:t>
      </w:r>
    </w:p>
    <w:p>
      <w:pPr>
        <w:pStyle w:val="BodyText"/>
      </w:pPr>
      <w:r>
        <w:rPr>
          <w:bCs/>
          <w:b/>
        </w:rPr>
        <w:t xml:space="preserve">12. Внесены изменения в Жилищный кодекс РФ.</w:t>
      </w:r>
    </w:p>
    <w:p>
      <w:pPr>
        <w:pStyle w:val="BodyText"/>
      </w:pPr>
      <w:r>
        <w:t xml:space="preserve">Внесенными изменениями в Жилищный кодекс Российской Федерации, с 01.09.2024 предусмотрена возможность проведения обследования технического состояния многоквартирных домов, включённых в региональную программу капитального ремонта общего имущества в многоквартирных домах, за счёт средств собственников помещений в многоквартирном доме (в случае принятия соответствующего решения общим собранием собственников помещений в многоквартирном доме) либо за счёт средств субъекта Российской Федерации.</w:t>
      </w:r>
    </w:p>
    <w:p>
      <w:pPr>
        <w:pStyle w:val="BodyText"/>
      </w:pPr>
      <w:r>
        <w:t xml:space="preserve">Такое решение потребует две трети голосов от всех собственников помещений в многоквартирном доме. Результаты обследования направляются в уполномоченный орган и являются основанием для внесения изменений в региональную программу.</w:t>
      </w:r>
    </w:p>
    <w:p>
      <w:pPr>
        <w:pStyle w:val="BodyText"/>
      </w:pPr>
      <w:r>
        <w:t xml:space="preserve">Указанное обследование может проводиться в целях обеспечения своевременного проведения капитального ремонта общего имущества в многоквартирных домах, оценки соответствия технического состояния многоквартирных домов и их систем инженерно-технического обеспечения нормативным требованиям, а также определения возможности дальнейшей эксплуатации многоквартирных домов и (или) установления необходимости проведения капитального ремонта общего имущества в многоквартирных домах с определением перечня и объёма услуг и (или) работ по капитальному ремонту.</w:t>
      </w:r>
    </w:p>
    <w:p>
      <w:pPr>
        <w:pStyle w:val="BodyText"/>
      </w:pPr>
      <w:r>
        <w:t xml:space="preserve">Перенос работ по капремонту на более поздний срок по результатам обследования не потребует отдельного решения общего собрания собственников о внесении изменений в региональную программу.</w:t>
      </w:r>
    </w:p>
    <w:p>
      <w:pPr>
        <w:pStyle w:val="BodyText"/>
      </w:pPr>
      <w:r>
        <w:rPr>
          <w:bCs/>
          <w:b/>
        </w:rPr>
        <w:t xml:space="preserve">13. Порядок исполнения постановления об административном приостановлении деятельности.</w:t>
      </w:r>
    </w:p>
    <w:p>
      <w:pPr>
        <w:pStyle w:val="BodyText"/>
      </w:pPr>
      <w:r>
        <w:t xml:space="preserve">Согласно ст. 3.12 КоАП РФ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BodyText"/>
      </w:pPr>
      <w:r>
        <w:t xml:space="preserve">Административное приостановление деятельности назначается только в случаях, предусмотренных статьями Особенной части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BodyText"/>
      </w:pPr>
      <w:r>
        <w:t xml:space="preserve">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BodyText"/>
      </w:pPr>
      <w:r>
        <w:t xml:space="preserve">В соответствии со ст. 32.12 КоАП РФ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BodyText"/>
      </w:pPr>
      <w:r>
        <w:t xml:space="preserve">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BodyText"/>
      </w:pPr>
      <w:r>
        <w:t xml:space="preserve">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в отношении которого применено такое административное наказание,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ст. 28.3 КоАП РФ составлять протокол об административном правонарушении.</w:t>
      </w:r>
    </w:p>
    <w:p>
      <w:pPr>
        <w:pStyle w:val="BodyText"/>
      </w:pPr>
      <w:r>
        <w:t xml:space="preserve">При поступлении соответствующего запроса судьи в целях подготовки заключения указанное должностное лицо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обстоятельств, послуживших основанием для назначения административного наказания в виде приостановления деятельности.</w:t>
      </w:r>
    </w:p>
    <w:p>
      <w:pPr>
        <w:pStyle w:val="BodyText"/>
      </w:pPr>
      <w:r>
        <w:t xml:space="preserve">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главой 29 КоАП РФ.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BodyText"/>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указывается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BodyText"/>
      </w:pPr>
      <w:r>
        <w:t xml:space="preserve">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должностное лицо, уполномоченное в соответствии со ст. 28.3 КоАП РФ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BodyText"/>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может быть составлен новый протокол об административном правонарушении.</w:t>
      </w:r>
    </w:p>
    <w:p>
      <w:pPr>
        <w:pStyle w:val="BodyText"/>
      </w:pPr>
      <w:r>
        <w:rPr>
          <w:bCs/>
          <w:b/>
        </w:rPr>
        <w:t xml:space="preserve">14. Должен ли наследник оплачивать долги наследодателя?</w:t>
      </w:r>
    </w:p>
    <w:p>
      <w:pPr>
        <w:pStyle w:val="BodyText"/>
      </w:pPr>
      <w:r>
        <w:t xml:space="preserve">В соответствии со ст. 1175 Гражданского кодекса Российской Федерации наследники, принявшие наследство, отвечают по долгам наследодателя солидарно.</w:t>
      </w:r>
    </w:p>
    <w:p>
      <w:pPr>
        <w:pStyle w:val="BodyText"/>
      </w:pPr>
      <w:r>
        <w:t xml:space="preserve">Каждый из наследников отвечает по долгам наследодателя в пределах стоимости перешедшего к нему наследственного имущества.</w:t>
      </w:r>
    </w:p>
    <w:p>
      <w:pPr>
        <w:pStyle w:val="BodyText"/>
      </w:pPr>
      <w:r>
        <w:t xml:space="preserve">Наследник, принявший наследство в порядке наследственной трансмиссии, отвечает в пределах стоимости этого наследственного имущества по долгам наследодателя, которому это имущество принадлежало, и не отвечает этим имуществом по долгам наследника, от которого к нему перешло право на принятие наследства.</w:t>
      </w:r>
    </w:p>
    <w:p>
      <w:pPr>
        <w:pStyle w:val="BodyText"/>
      </w:pPr>
      <w:r>
        <w:t xml:space="preserve">Наследственная трансмиссия - это когда наследник, призванный к наследованию по завещанию или по закону, умер после открытия наследства, не успев его принять в установленный срок, право на принятие причитавшегося ему наследства переходит к его наследникам по закону, а если все наследственное имущество было завещано - к его наследникам по завещанию.</w:t>
      </w:r>
    </w:p>
    <w:p>
      <w:pPr>
        <w:pStyle w:val="BodyText"/>
      </w:pPr>
      <w:r>
        <w:t xml:space="preserve">Кредиторы наследодателя вправе предъявить свои требования к принявшим наследство наследникам в пределах сроков исковой давности, установленных для соответствующих требований.</w:t>
      </w:r>
    </w:p>
    <w:p>
      <w:pPr>
        <w:pStyle w:val="BodyText"/>
      </w:pPr>
      <w:r>
        <w:t xml:space="preserve">До принятия наследства требования кредиторов могут быть предъявлены к наследственному имуществу, в целях сохранения которого к участию в деле привлекается исполнитель завещания или нотариус.</w:t>
      </w:r>
    </w:p>
    <w:p>
      <w:pPr>
        <w:pStyle w:val="BodyText"/>
      </w:pPr>
      <w:r>
        <w:t xml:space="preserve">При предъявлении требований кредиторами наследодателя срок исковой давности, установленный для соответствующих требований, не подлежит перерыву, приостановлению и восстановлению.</w:t>
      </w:r>
    </w:p>
    <w:p>
      <w:pPr>
        <w:pStyle w:val="BodyText"/>
      </w:pPr>
      <w:r>
        <w:br/>
      </w:r>
    </w:p>
    <w:p>
      <w:pPr>
        <w:pStyle w:val="BodyText"/>
      </w:pPr>
      <w:r>
        <w:t xml:space="preserve">Адрес страницы:</w:t>
      </w:r>
      <w:r>
        <w:t xml:space="preserve"> </w:t>
      </w:r>
      <w:hyperlink r:id="rId20">
        <w:r>
          <w:rPr>
            <w:rStyle w:val="Hyperlink"/>
          </w:rPr>
          <w:t xml:space="preserve">http://uzao.mos.ru/nash-okrug/prokuror-razyasnyaet/detail/12567753.html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nash-okrug/prokuror-razyasnyaet/detail/12567753.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nash-okrug/prokuror-razyasnyaet/detail/1256775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2025-06-03T01:42:14Z</dcterms:created>
  <dcterms:modified xsi:type="dcterms:W3CDTF">2025-06-03T01:42:14Z</dcterms:modified>
</cp:coreProperties>
</file>

<file path=docProps/custom.xml><?xml version="1.0" encoding="utf-8"?>
<Properties xmlns="http://schemas.openxmlformats.org/officeDocument/2006/custom-properties" xmlns:vt="http://schemas.openxmlformats.org/officeDocument/2006/docPropsVTypes"/>
</file>